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NIST CSF 2.0</w:t>
      </w:r>
    </w:p>
    <w:p>
      <w:pPr>
        <w:pStyle w:val="Heading2"/>
        <w:keepNext/>
        <w:keepLines/>
      </w:pPr>
      <w:r>
        <w:rPr>
          <w:color w:val="0066CC"/>
        </w:rPr>
        <w:t>1. Enfoque general</w:t>
      </w:r>
    </w:p>
    <w:p>
      <w:r>
        <w:t>Este marco integra la metodología Goal-Question-Metric (GQM) con los criterios PRAGMATIC para diseñar y evaluar métricas de ciberseguridad alineadas con NIST CSF 2.0 y objetivos nacionales.[web:35][web:36][web:41][web:46][web:5][web:22]</w:t>
      </w:r>
    </w:p>
    <w:p>
      <w:pPr>
        <w:pStyle w:val="Heading3"/>
        <w:keepNext/>
        <w:keepLines/>
      </w:pPr>
      <w:r>
        <w:t>1.1. GQM aplicado a NIST CSF 2.0</w:t>
      </w:r>
    </w:p>
    <w:p>
      <w:pPr>
        <w:pStyle w:val="ListBullet"/>
        <w:keepLines w:val="1"/>
        <w:keepNext w:val="1"/>
        <w:widowControl w:val="1"/>
      </w:pPr>
      <w:r>
        <w:t>Goal (Objetivo): declaración de propósito ligada a funciones CSF (GV, ID, PR, DE, RS, RC) y a metas nacionales (resiliencia, continuidad de servicios esenciales, etc.).[web:5][web:22]</w:t>
      </w:r>
    </w:p>
    <w:p>
      <w:pPr>
        <w:pStyle w:val="ListBullet"/>
        <w:keepLines w:val="1"/>
        <w:keepNext w:val="1"/>
        <w:widowControl w:val="1"/>
      </w:pPr>
      <w:r>
        <w:t>Question (Pregunta): cuestiones específicas que permiten saber si avanzamos hacia el objetivo.[web:35][web:39][web:41]</w:t>
      </w:r>
    </w:p>
    <w:p>
      <w:pPr>
        <w:pStyle w:val="ListBullet"/>
        <w:keepLines w:val="1"/>
        <w:widowControl w:val="1"/>
      </w:pPr>
      <w:r>
        <w:t>Metric (Métrica): datos cuantitativos o cualitativos que responden a las preguntas con evidencia.[web:35][web:37][web:38][web:43][web:46]</w:t>
      </w:r>
    </w:p>
    <w:p>
      <w:pPr>
        <w:pStyle w:val="Heading3"/>
        <w:keepNext/>
        <w:keepLines/>
      </w:pPr>
      <w:r>
        <w:t>1.2. Criterios PRAGMATIC</w:t>
      </w:r>
    </w:p>
    <w:p>
      <w:r>
        <w:t>Cada métrica se puntúa de 1 (muy pobre) a 5 (muy buena) en los nueve criterios PRAGMATIC:[web:40][web:44][web:47]</w:t>
      </w:r>
    </w:p>
    <w:p>
      <w:pPr>
        <w:pStyle w:val="ListBullet"/>
        <w:keepLines w:val="1"/>
        <w:keepNext w:val="1"/>
        <w:widowControl w:val="1"/>
      </w:pPr>
      <w:r>
        <w:t>P – Predictivo: ¿ayuda a anticipar resultados futuros (incidentes, fallos, brechas)?</w:t>
      </w:r>
    </w:p>
    <w:p>
      <w:pPr>
        <w:pStyle w:val="ListBullet"/>
        <w:keepLines w:val="1"/>
        <w:keepNext w:val="1"/>
        <w:widowControl w:val="1"/>
      </w:pPr>
      <w:r>
        <w:t>R – Relevante: ¿está claramente alineada con objetivos de negocio y riesgo?</w:t>
      </w:r>
    </w:p>
    <w:p>
      <w:pPr>
        <w:pStyle w:val="ListBullet"/>
        <w:keepLines w:val="1"/>
        <w:keepNext w:val="1"/>
        <w:widowControl w:val="1"/>
      </w:pPr>
      <w:r>
        <w:t>A – Accionable: ¿lleva a decisiones o acciones concretas?</w:t>
      </w:r>
    </w:p>
    <w:p>
      <w:pPr>
        <w:pStyle w:val="ListBullet"/>
        <w:keepLines w:val="1"/>
        <w:keepNext w:val="1"/>
        <w:widowControl w:val="1"/>
      </w:pPr>
      <w:r>
        <w:t>G – Genuino: ¿refleja la realidad sin manipulaciones fáciles o incentivos perversos?</w:t>
      </w:r>
    </w:p>
    <w:p>
      <w:pPr>
        <w:pStyle w:val="ListBullet"/>
        <w:keepLines w:val="1"/>
        <w:keepNext w:val="1"/>
        <w:widowControl w:val="1"/>
      </w:pPr>
      <w:r>
        <w:t>M – Significativo (Meaningful): ¿es comprensible y valiosa para los stakeholders?</w:t>
      </w:r>
    </w:p>
    <w:p>
      <w:pPr>
        <w:pStyle w:val="ListBullet"/>
        <w:keepLines w:val="1"/>
        <w:keepNext w:val="1"/>
        <w:widowControl w:val="1"/>
      </w:pPr>
      <w:r>
        <w:t>A – Preciso (Accurate): ¿es fiable y suficientemente exacta para su uso?</w:t>
      </w:r>
    </w:p>
    <w:p>
      <w:pPr>
        <w:pStyle w:val="ListBullet"/>
        <w:keepLines w:val="1"/>
        <w:keepNext w:val="1"/>
        <w:widowControl w:val="1"/>
      </w:pPr>
      <w:r>
        <w:t>T – Oportuno (Timely): ¿se obtiene con la frecuencia adecuada para tomar decisiones?</w:t>
      </w:r>
    </w:p>
    <w:p>
      <w:pPr>
        <w:pStyle w:val="ListBullet"/>
        <w:keepLines w:val="1"/>
        <w:keepNext w:val="1"/>
        <w:widowControl w:val="1"/>
      </w:pPr>
      <w:r>
        <w:t>I – Independiente: ¿no depende en exceso de juicios subjetivos o de una sola fuente?</w:t>
      </w:r>
    </w:p>
    <w:p>
      <w:pPr>
        <w:pStyle w:val="ListBullet"/>
        <w:keepLines w:val="1"/>
        <w:widowControl w:val="1"/>
      </w:pPr>
      <w:r>
        <w:t>C – Rentable (Cost-effective): ¿su coste de obtención/uso es razonable frente al beneficio?</w:t>
      </w:r>
    </w:p>
    <w:p>
      <w:pPr>
        <w:pStyle w:val="Heading2"/>
        <w:keepNext/>
        <w:keepLines/>
      </w:pPr>
      <w:r>
        <w:rPr>
          <w:color w:val="0066CC"/>
        </w:rPr>
        <w:t>2. Ejemplo estructurado por indicador</w:t>
      </w:r>
    </w:p>
    <w:p>
      <w:r>
        <w:t>A continuación se ilustra, para un conjunto de indicadores clave derivados del informe, cómo se documenta GQM + PRAGMATIC de forma homogénea.</w:t>
      </w:r>
    </w:p>
    <w:p>
      <w:pPr>
        <w:pStyle w:val="Heading3"/>
        <w:keepNext/>
        <w:keepLines/>
      </w:pPr>
      <w:r>
        <w:t>Indicador 1 – Cobertura de MFA en cuentas de alto riesgo (PR)</w:t>
      </w:r>
    </w:p>
    <w:p>
      <w:pPr>
        <w:pStyle w:val="ListBullet"/>
        <w:keepLines w:val="1"/>
        <w:keepNext w:val="1"/>
        <w:widowControl w:val="1"/>
      </w:pPr>
      <w:r>
        <w:t>Goal: Reducir la probabilidad de compromiso de cuentas críticas mediante autenticación reforzada, alineado con la función PROTECT (PR) de NIST CSF 2.0.[web:5]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Q1. ¿Qué porcentaje de cuentas de alto riesgo está protegido por MFA según la política vigente?</w:t>
      </w:r>
    </w:p>
    <w:p>
      <w:pPr>
        <w:pStyle w:val="ListBullet"/>
        <w:keepLines w:val="1"/>
        <w:keepNext w:val="1"/>
        <w:widowControl w:val="1"/>
      </w:pPr>
      <w:r>
        <w:t>Q2. ¿Se está incrementando la cobertura de MFA con el tiempo?</w:t>
      </w:r>
    </w:p>
    <w:p>
      <w:pPr>
        <w:pStyle w:val="ListBullet"/>
        <w:keepLines w:val="1"/>
        <w:keepNext w:val="1"/>
        <w:widowControl w:val="1"/>
      </w:pPr>
      <w:r>
        <w:t>Metrics:</w:t>
      </w:r>
    </w:p>
    <w:p>
      <w:pPr>
        <w:pStyle w:val="ListBullet"/>
        <w:keepLines w:val="1"/>
        <w:keepNext w:val="1"/>
        <w:widowControl w:val="1"/>
      </w:pPr>
      <w:r>
        <w:t>M1. % de cuentas de alto riesgo con MFA activo frente al total de cuentas de alto riesgo.</w:t>
      </w:r>
    </w:p>
    <w:p>
      <w:pPr>
        <w:pStyle w:val="ListBullet"/>
        <w:keepLines w:val="1"/>
        <w:widowControl w:val="1"/>
      </w:pPr>
      <w:r>
        <w:t>M2. Variación trimestral (%) de la cobertura de MFA.</w:t>
      </w:r>
    </w:p>
    <w:p>
      <w:r>
        <w:rPr>
          <w:b/>
        </w:rPr>
        <w:t>Evaluación PRAGMATIC (escala 1–5)</w:t>
      </w:r>
    </w:p>
    <w:p>
      <w:pPr>
        <w:pStyle w:val="ListBullet"/>
        <w:keepLines w:val="1"/>
        <w:keepNext w:val="1"/>
        <w:widowControl w:val="1"/>
      </w:pPr>
      <w:r>
        <w:t>Predictivo: 4 – Una alta o creciente cobertura de MFA se correlaciona con menor probabilidad de compromisos por robo de credenciales.</w:t>
      </w:r>
    </w:p>
    <w:p>
      <w:pPr>
        <w:pStyle w:val="ListBullet"/>
        <w:keepLines w:val="1"/>
        <w:keepNext w:val="1"/>
        <w:widowControl w:val="1"/>
      </w:pPr>
      <w:r>
        <w:t>Relevante: 5 – Directamente alineado con objetivos de protección de accesos y requisitos normativos.</w:t>
      </w:r>
    </w:p>
    <w:p>
      <w:pPr>
        <w:pStyle w:val="ListBullet"/>
        <w:keepLines w:val="1"/>
        <w:keepNext w:val="1"/>
        <w:widowControl w:val="1"/>
      </w:pPr>
      <w:r>
        <w:t>Accionable: 5 – Valores bajos activan campañas de despliegue y refuerzo de políticas.</w:t>
      </w:r>
    </w:p>
    <w:p>
      <w:pPr>
        <w:pStyle w:val="ListBullet"/>
        <w:keepLines w:val="1"/>
        <w:keepNext w:val="1"/>
        <w:widowControl w:val="1"/>
      </w:pPr>
      <w:r>
        <w:t>Genuino: 4 – Difícil de “maquillar” si se audita contra directorios y sistemas de autenticación.</w:t>
      </w:r>
    </w:p>
    <w:p>
      <w:pPr>
        <w:pStyle w:val="ListBullet"/>
        <w:keepLines w:val="1"/>
        <w:keepNext w:val="1"/>
        <w:widowControl w:val="1"/>
      </w:pPr>
      <w:r>
        <w:t>Significativo: 5 – Fácil de entender por dirección y técnicos.</w:t>
      </w:r>
    </w:p>
    <w:p>
      <w:pPr>
        <w:pStyle w:val="ListBullet"/>
        <w:keepLines w:val="1"/>
        <w:keepNext w:val="1"/>
        <w:widowControl w:val="1"/>
      </w:pPr>
      <w:r>
        <w:t>Preciso: 4 – Depende de la calidad de los inventarios de cuentas y sistemas de IAM.</w:t>
      </w:r>
    </w:p>
    <w:p>
      <w:pPr>
        <w:pStyle w:val="ListBullet"/>
        <w:keepLines w:val="1"/>
        <w:keepNext w:val="1"/>
        <w:widowControl w:val="1"/>
      </w:pPr>
      <w:r>
        <w:t>Oportuno: 4 – Puede actualizarse mensualmente o trimestralmente con esfuerzo razonable.</w:t>
      </w:r>
    </w:p>
    <w:p>
      <w:pPr>
        <w:pStyle w:val="ListBullet"/>
        <w:keepLines w:val="1"/>
        <w:keepNext w:val="1"/>
        <w:widowControl w:val="1"/>
      </w:pPr>
      <w:r>
        <w:t>Independiente: 3 – Depende de sistemas internos, pero puede verificarse con auditorías.</w:t>
      </w:r>
    </w:p>
    <w:p>
      <w:pPr>
        <w:pStyle w:val="ListBullet"/>
        <w:keepLines w:val="1"/>
        <w:widowControl w:val="1"/>
      </w:pPr>
      <w:r>
        <w:t>Rentable: 4 – Automatizable con conectores a IAM/IdP.</w:t>
      </w:r>
    </w:p>
    <w:p>
      <w:pPr>
        <w:pStyle w:val="Heading3"/>
        <w:keepNext/>
        <w:keepLines/>
      </w:pPr>
      <w:r>
        <w:t>Indicador 2 – Tiempo medio de detección (MTTD) (DE)</w:t>
      </w:r>
    </w:p>
    <w:p>
      <w:pPr>
        <w:pStyle w:val="ListBullet"/>
        <w:keepLines w:val="1"/>
        <w:keepNext w:val="1"/>
        <w:widowControl w:val="1"/>
      </w:pPr>
      <w:r>
        <w:t>Goal: Reducir el tiempo necesario para detectar incidentes, mejorando la función DETECT (DE) y limitando el impacto potencial.[web:5][web:22]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Q1. ¿Cuánto tiempo transcurre de media entre la ocurrencia de un incidente y su detección?</w:t>
      </w:r>
    </w:p>
    <w:p>
      <w:pPr>
        <w:pStyle w:val="ListBullet"/>
        <w:keepLines w:val="1"/>
        <w:keepNext w:val="1"/>
        <w:widowControl w:val="1"/>
      </w:pPr>
      <w:r>
        <w:t>Q2. ¿El MTTD disminuye tras inversiones en monitorización y análisis?</w:t>
      </w:r>
    </w:p>
    <w:p>
      <w:pPr>
        <w:pStyle w:val="ListBullet"/>
        <w:keepLines w:val="1"/>
        <w:keepNext w:val="1"/>
        <w:widowControl w:val="1"/>
      </w:pPr>
      <w:r>
        <w:t>Metrics:</w:t>
      </w:r>
    </w:p>
    <w:p>
      <w:pPr>
        <w:pStyle w:val="ListBullet"/>
        <w:keepLines w:val="1"/>
        <w:keepNext w:val="1"/>
        <w:widowControl w:val="1"/>
      </w:pPr>
      <w:r>
        <w:t>M1. MTTD en horas para incidentes clasificados como graves en el último año.</w:t>
      </w:r>
    </w:p>
    <w:p>
      <w:pPr>
        <w:pStyle w:val="ListBullet"/>
        <w:keepLines w:val="1"/>
        <w:widowControl w:val="1"/>
      </w:pPr>
      <w:r>
        <w:t>M2. Tendencia trimestral del MTTD (en % de reducción/aumento).</w:t>
      </w:r>
    </w:p>
    <w:p>
      <w:r>
        <w:rPr>
          <w:b/>
        </w:rPr>
        <w:t>Evaluación PRAGMATIC</w:t>
      </w:r>
    </w:p>
    <w:p>
      <w:pPr>
        <w:pStyle w:val="ListBullet"/>
        <w:keepLines w:val="1"/>
        <w:keepNext w:val="1"/>
        <w:widowControl w:val="1"/>
      </w:pPr>
      <w:r>
        <w:t>Predictivo: 4 – Un MTTD alto anticipa incidentes más dañinos; su reducción sugiere mejor contención futura.</w:t>
      </w:r>
    </w:p>
    <w:p>
      <w:pPr>
        <w:pStyle w:val="ListBullet"/>
        <w:keepLines w:val="1"/>
        <w:keepNext w:val="1"/>
        <w:widowControl w:val="1"/>
      </w:pPr>
      <w:r>
        <w:t>Relevante: 5 – Clave para resiliencia y cumplimiento de políticas de detección.</w:t>
      </w:r>
    </w:p>
    <w:p>
      <w:pPr>
        <w:pStyle w:val="ListBullet"/>
        <w:keepLines w:val="1"/>
        <w:keepNext w:val="1"/>
        <w:widowControl w:val="1"/>
      </w:pPr>
      <w:r>
        <w:t>Accionable: 5 – Valores altos justifican inversiones en SOC, SIEM, EDR, formación.</w:t>
      </w:r>
    </w:p>
    <w:p>
      <w:pPr>
        <w:pStyle w:val="ListBullet"/>
        <w:keepLines w:val="1"/>
        <w:keepNext w:val="1"/>
        <w:widowControl w:val="1"/>
      </w:pPr>
      <w:r>
        <w:t>Genuino: 3 – Puede verse afectado por criterios de clasificación y de “inicio del incidente”.</w:t>
      </w:r>
    </w:p>
    <w:p>
      <w:pPr>
        <w:pStyle w:val="ListBullet"/>
        <w:keepLines w:val="1"/>
        <w:keepNext w:val="1"/>
        <w:widowControl w:val="1"/>
      </w:pPr>
      <w:r>
        <w:t>Significativo: 4 – Muy comprensible para gestión, especialmente cuando se compara con benchmarks.</w:t>
      </w:r>
    </w:p>
    <w:p>
      <w:pPr>
        <w:pStyle w:val="ListBullet"/>
        <w:keepLines w:val="1"/>
        <w:keepNext w:val="1"/>
        <w:widowControl w:val="1"/>
      </w:pPr>
      <w:r>
        <w:t>Preciso: 3 – Depende de registros de tiempo coherentes y definición homogénea de incidente.</w:t>
      </w:r>
    </w:p>
    <w:p>
      <w:pPr>
        <w:pStyle w:val="ListBullet"/>
        <w:keepLines w:val="1"/>
        <w:keepNext w:val="1"/>
        <w:widowControl w:val="1"/>
      </w:pPr>
      <w:r>
        <w:t>Oportuno: 4 – Puede calcularse mensualmente, trimestralmente o tras cada incidente.</w:t>
      </w:r>
    </w:p>
    <w:p>
      <w:pPr>
        <w:pStyle w:val="ListBullet"/>
        <w:keepLines w:val="1"/>
        <w:keepNext w:val="1"/>
        <w:widowControl w:val="1"/>
      </w:pPr>
      <w:r>
        <w:t>Independiente: 3 – Se nutre de sistemas internos, pero puede validarse en auditorías.</w:t>
      </w:r>
    </w:p>
    <w:p>
      <w:pPr>
        <w:pStyle w:val="ListBullet"/>
        <w:keepLines w:val="1"/>
        <w:widowControl w:val="1"/>
      </w:pPr>
      <w:r>
        <w:t>Rentable: 4 – Se puede automatizar a partir de sistemas de ticketing y SIEM.</w:t>
      </w:r>
    </w:p>
    <w:p>
      <w:pPr>
        <w:pStyle w:val="Heading3"/>
        <w:keepNext/>
        <w:keepLines/>
      </w:pPr>
      <w:r>
        <w:t>Indicador 3 – Cumplimiento de RTO en ejercicios de recuperación (RC)</w:t>
      </w:r>
    </w:p>
    <w:p>
      <w:pPr>
        <w:pStyle w:val="ListBullet"/>
        <w:keepLines w:val="1"/>
        <w:keepNext w:val="1"/>
        <w:widowControl w:val="1"/>
      </w:pPr>
      <w:r>
        <w:t>Goal: Asegurar que los procesos críticos se recuperan dentro de los tiempos de RTO acordados, reforzando la función RECOVER (RC).[web:5]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Q1. ¿Qué porcentaje de servicios críticos alcanza su RTO durante ejercicios de recuperación?</w:t>
      </w:r>
    </w:p>
    <w:p>
      <w:pPr>
        <w:pStyle w:val="ListBullet"/>
        <w:keepLines w:val="1"/>
        <w:keepNext w:val="1"/>
        <w:widowControl w:val="1"/>
      </w:pPr>
      <w:r>
        <w:t>Q2. ¿La tendencia mejora a lo largo de los últimos ejercicios?</w:t>
      </w:r>
    </w:p>
    <w:p>
      <w:pPr>
        <w:pStyle w:val="ListBullet"/>
        <w:keepLines w:val="1"/>
        <w:keepNext w:val="1"/>
        <w:widowControl w:val="1"/>
      </w:pPr>
      <w:r>
        <w:t>Metrics:</w:t>
      </w:r>
    </w:p>
    <w:p>
      <w:pPr>
        <w:pStyle w:val="ListBullet"/>
        <w:keepLines w:val="1"/>
        <w:keepNext w:val="1"/>
        <w:widowControl w:val="1"/>
      </w:pPr>
      <w:r>
        <w:t>M1. % de servicios críticos que cumplen su RTO en el último ejercicio.</w:t>
      </w:r>
    </w:p>
    <w:p>
      <w:pPr>
        <w:pStyle w:val="ListBullet"/>
        <w:keepLines w:val="1"/>
        <w:widowControl w:val="1"/>
      </w:pPr>
      <w:r>
        <w:t>M2. Evolución de ese porcentaje en los últimos 3 ejercicios.</w:t>
      </w:r>
    </w:p>
    <w:p>
      <w:r>
        <w:rPr>
          <w:b/>
        </w:rPr>
        <w:t>Evaluación PRAGMATIC</w:t>
      </w:r>
    </w:p>
    <w:p>
      <w:pPr>
        <w:pStyle w:val="ListBullet"/>
        <w:keepLines w:val="1"/>
        <w:keepNext w:val="1"/>
        <w:widowControl w:val="1"/>
      </w:pPr>
      <w:r>
        <w:t>Predictivo: 5 – Excelente indicador de la probabilidad de que, ante una crisis real, los tiempos se cumplan.</w:t>
      </w:r>
    </w:p>
    <w:p>
      <w:pPr>
        <w:pStyle w:val="ListBullet"/>
        <w:keepLines w:val="1"/>
        <w:keepNext w:val="1"/>
        <w:widowControl w:val="1"/>
      </w:pPr>
      <w:r>
        <w:t>Relevante: 5 – Directamente vinculado a continuidad de negocio y obligaciones regulatorias.</w:t>
      </w:r>
    </w:p>
    <w:p>
      <w:pPr>
        <w:pStyle w:val="ListBullet"/>
        <w:keepLines w:val="1"/>
        <w:keepNext w:val="1"/>
        <w:widowControl w:val="1"/>
      </w:pPr>
      <w:r>
        <w:t>Accionable: 5 – Resultados pobres activan planes de mejora, inversiones en DR y revisiones de diseños.</w:t>
      </w:r>
    </w:p>
    <w:p>
      <w:pPr>
        <w:pStyle w:val="ListBullet"/>
        <w:keepLines w:val="1"/>
        <w:keepNext w:val="1"/>
        <w:widowControl w:val="1"/>
      </w:pPr>
      <w:r>
        <w:t>Genuino: 4 – Difícil de manipular si los ejercicios son supervisados y documentados.</w:t>
      </w:r>
    </w:p>
    <w:p>
      <w:pPr>
        <w:pStyle w:val="ListBullet"/>
        <w:keepLines w:val="1"/>
        <w:keepNext w:val="1"/>
        <w:widowControl w:val="1"/>
      </w:pPr>
      <w:r>
        <w:t>Significativo: 5 – Fácil de entender por negocio y reguladores.</w:t>
      </w:r>
    </w:p>
    <w:p>
      <w:pPr>
        <w:pStyle w:val="ListBullet"/>
        <w:keepLines w:val="1"/>
        <w:keepNext w:val="1"/>
        <w:widowControl w:val="1"/>
      </w:pPr>
      <w:r>
        <w:t>Preciso: 4 – Depende de la calidad de los cronogramas y definición exacta de “servicio recuperado”.</w:t>
      </w:r>
    </w:p>
    <w:p>
      <w:pPr>
        <w:pStyle w:val="ListBullet"/>
        <w:keepLines w:val="1"/>
        <w:keepNext w:val="1"/>
        <w:widowControl w:val="1"/>
      </w:pPr>
      <w:r>
        <w:t>Oportuno: 3 – Se mide típicamente 1–2 veces al año; suficiente para planificación.</w:t>
      </w:r>
    </w:p>
    <w:p>
      <w:pPr>
        <w:pStyle w:val="ListBullet"/>
        <w:keepLines w:val="1"/>
        <w:keepNext w:val="1"/>
        <w:widowControl w:val="1"/>
      </w:pPr>
      <w:r>
        <w:t>Independiente: 4 – Puede ser verificado por terceros (auditoría, regulador).</w:t>
      </w:r>
    </w:p>
    <w:p>
      <w:pPr>
        <w:pStyle w:val="ListBullet"/>
        <w:keepLines w:val="1"/>
        <w:widowControl w:val="1"/>
      </w:pPr>
      <w:r>
        <w:t>Rentable: 3 – Los ejercicios tienen coste, pero la métrica es un subproducto valioso.</w:t>
      </w:r>
    </w:p>
    <w:p>
      <w:pPr>
        <w:pStyle w:val="Heading3"/>
        <w:keepNext/>
        <w:keepLines/>
      </w:pPr>
      <w:r>
        <w:t>Indicador 4 – Cobertura de inventario automatizado de activos (ID)</w:t>
      </w:r>
    </w:p>
    <w:p>
      <w:pPr>
        <w:pStyle w:val="ListBullet"/>
        <w:keepLines w:val="1"/>
        <w:keepNext w:val="1"/>
        <w:widowControl w:val="1"/>
      </w:pPr>
      <w:r>
        <w:t>Goal: Lograr visibilidad casi completa de los activos, requisito previo para gestionar riesgo, proteger y detectar, dentro de la función IDENTIFY (ID).[web:5]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Q1. ¿Qué porcentaje de activos estimados está detectado y registrado automáticamente?</w:t>
      </w:r>
    </w:p>
    <w:p>
      <w:pPr>
        <w:pStyle w:val="ListBullet"/>
        <w:keepLines w:val="1"/>
        <w:keepNext w:val="1"/>
        <w:widowControl w:val="1"/>
      </w:pPr>
      <w:r>
        <w:t>Q2. ¿Se está reduciendo la brecha entre inventario estimado y real?</w:t>
      </w:r>
    </w:p>
    <w:p>
      <w:pPr>
        <w:pStyle w:val="ListBullet"/>
        <w:keepLines w:val="1"/>
        <w:keepNext w:val="1"/>
        <w:widowControl w:val="1"/>
      </w:pPr>
      <w:r>
        <w:t>Metrics:</w:t>
      </w:r>
    </w:p>
    <w:p>
      <w:pPr>
        <w:pStyle w:val="ListBullet"/>
        <w:keepLines w:val="1"/>
        <w:keepNext w:val="1"/>
        <w:widowControl w:val="1"/>
      </w:pPr>
      <w:r>
        <w:t>M1. % de activos descubiertos automáticamente frente a estimación total.</w:t>
      </w:r>
    </w:p>
    <w:p>
      <w:pPr>
        <w:pStyle w:val="ListBullet"/>
        <w:keepLines w:val="1"/>
        <w:widowControl w:val="1"/>
      </w:pPr>
      <w:r>
        <w:t>M2. Número de activos “huérfanos” identificados por auditorías o escaneos ad hoc.</w:t>
      </w:r>
    </w:p>
    <w:p>
      <w:r>
        <w:rPr>
          <w:b/>
        </w:rPr>
        <w:t>Evaluación PRAGMATIC</w:t>
      </w:r>
    </w:p>
    <w:p>
      <w:pPr>
        <w:pStyle w:val="ListBullet"/>
        <w:keepLines w:val="1"/>
        <w:keepNext w:val="1"/>
        <w:widowControl w:val="1"/>
      </w:pPr>
      <w:r>
        <w:t>Predictivo: 4 – Una mala visibilidad anticipa problemas en todas las demás funciones.</w:t>
      </w:r>
    </w:p>
    <w:p>
      <w:pPr>
        <w:pStyle w:val="ListBullet"/>
        <w:keepLines w:val="1"/>
        <w:keepNext w:val="1"/>
        <w:widowControl w:val="1"/>
      </w:pPr>
      <w:r>
        <w:t>Relevante: 5 – Base para cualquier programa serio de ciberseguridad.</w:t>
      </w:r>
    </w:p>
    <w:p>
      <w:pPr>
        <w:pStyle w:val="ListBullet"/>
        <w:keepLines w:val="1"/>
        <w:keepNext w:val="1"/>
        <w:widowControl w:val="1"/>
      </w:pPr>
      <w:r>
        <w:t>Accionable: 5 – Si la cobertura es baja, se invierte en herramientas y procesos de descubrimiento.</w:t>
      </w:r>
    </w:p>
    <w:p>
      <w:pPr>
        <w:pStyle w:val="ListBullet"/>
        <w:keepLines w:val="1"/>
        <w:keepNext w:val="1"/>
        <w:widowControl w:val="1"/>
      </w:pPr>
      <w:r>
        <w:t>Genuino: 4 – Contrastable con escaneos independientes.</w:t>
      </w:r>
    </w:p>
    <w:p>
      <w:pPr>
        <w:pStyle w:val="ListBullet"/>
        <w:keepLines w:val="1"/>
        <w:keepNext w:val="1"/>
        <w:widowControl w:val="1"/>
      </w:pPr>
      <w:r>
        <w:t>Significativo: 4 – Claro para los equipos técnicos y razonablemente entendible para dirección.</w:t>
      </w:r>
    </w:p>
    <w:p>
      <w:pPr>
        <w:pStyle w:val="ListBullet"/>
        <w:keepLines w:val="1"/>
        <w:keepNext w:val="1"/>
        <w:widowControl w:val="1"/>
      </w:pPr>
      <w:r>
        <w:t>Preciso: 3 – La “estimación total” de activos puede ser incierta.</w:t>
      </w:r>
    </w:p>
    <w:p>
      <w:pPr>
        <w:pStyle w:val="ListBullet"/>
        <w:keepLines w:val="1"/>
        <w:keepNext w:val="1"/>
        <w:widowControl w:val="1"/>
      </w:pPr>
      <w:r>
        <w:t>Oportuno: 4 – Se puede refrescar mensualmente o trimestralmente.</w:t>
      </w:r>
    </w:p>
    <w:p>
      <w:pPr>
        <w:pStyle w:val="ListBullet"/>
        <w:keepLines w:val="1"/>
        <w:keepNext w:val="1"/>
        <w:widowControl w:val="1"/>
      </w:pPr>
      <w:r>
        <w:t>Independiente: 3 – Depende de herramientas internas, pero se puede auditar.</w:t>
      </w:r>
    </w:p>
    <w:p>
      <w:pPr>
        <w:pStyle w:val="ListBullet"/>
        <w:keepLines w:val="1"/>
        <w:widowControl w:val="1"/>
      </w:pPr>
      <w:r>
        <w:t>Rentable: 3 – Requiere invertir en soluciones de inventario/CMDB, con claro retorno.</w:t>
      </w:r>
    </w:p>
    <w:p>
      <w:pPr>
        <w:pStyle w:val="Heading3"/>
        <w:keepNext/>
        <w:keepLines/>
      </w:pPr>
      <w:r>
        <w:t>Indicador 5 – Porcentaje de proveedores críticos con cláusulas de ciberseguridad (GV.SC)</w:t>
      </w:r>
    </w:p>
    <w:p>
      <w:pPr>
        <w:pStyle w:val="ListBullet"/>
        <w:keepLines w:val="1"/>
        <w:keepNext w:val="1"/>
        <w:widowControl w:val="1"/>
      </w:pPr>
      <w:r>
        <w:t>Goal: Reducir riesgos derivados de terceros mediante requisitos contractuales y de gestión, apoyando la subfunción de Supply Chain Risk Management (GV.SC).[web:5][web:45]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Q1. ¿Qué porcentaje de proveedores clasificados como críticos tiene cláusulas contractuales específicas de ciberseguridad?</w:t>
      </w:r>
    </w:p>
    <w:p>
      <w:pPr>
        <w:pStyle w:val="ListBullet"/>
        <w:keepLines w:val="1"/>
        <w:keepNext w:val="1"/>
        <w:widowControl w:val="1"/>
      </w:pPr>
      <w:r>
        <w:t>Q2. ¿Se está ampliando esa cobertura con el tiempo?</w:t>
      </w:r>
    </w:p>
    <w:p>
      <w:pPr>
        <w:pStyle w:val="ListBullet"/>
        <w:keepLines w:val="1"/>
        <w:keepNext w:val="1"/>
        <w:widowControl w:val="1"/>
      </w:pPr>
      <w:r>
        <w:t>Metrics:</w:t>
      </w:r>
    </w:p>
    <w:p>
      <w:pPr>
        <w:pStyle w:val="ListBullet"/>
        <w:keepLines w:val="1"/>
        <w:keepNext w:val="1"/>
        <w:widowControl w:val="1"/>
      </w:pPr>
      <w:r>
        <w:t>M1. % de proveedores críticos con cláusulas de ciberseguridad definidas y firmadas.</w:t>
      </w:r>
    </w:p>
    <w:p>
      <w:pPr>
        <w:pStyle w:val="ListBullet"/>
        <w:keepLines w:val="1"/>
        <w:widowControl w:val="1"/>
      </w:pPr>
      <w:r>
        <w:t>M2. Número de contratos críticos revisados/actualizados al año.</w:t>
      </w:r>
    </w:p>
    <w:p>
      <w:r>
        <w:rPr>
          <w:b/>
        </w:rPr>
        <w:t>Evaluación PRAGMATIC</w:t>
      </w:r>
    </w:p>
    <w:p>
      <w:pPr>
        <w:pStyle w:val="ListBullet"/>
        <w:keepLines w:val="1"/>
        <w:keepNext w:val="1"/>
        <w:widowControl w:val="1"/>
      </w:pPr>
      <w:r>
        <w:t>Predictivo: 4 – Buena cobertura reduce probabilidad/impacto de incidentes vía terceros.</w:t>
      </w:r>
    </w:p>
    <w:p>
      <w:pPr>
        <w:pStyle w:val="ListBullet"/>
        <w:keepLines w:val="1"/>
        <w:keepNext w:val="1"/>
        <w:widowControl w:val="1"/>
      </w:pPr>
      <w:r>
        <w:t>Relevante: 5 – Muy alineado con requisitos regulatorios recientes (NIS2, DORA, etc.).</w:t>
      </w:r>
    </w:p>
    <w:p>
      <w:pPr>
        <w:pStyle w:val="ListBullet"/>
        <w:keepLines w:val="1"/>
        <w:keepNext w:val="1"/>
        <w:widowControl w:val="1"/>
      </w:pPr>
      <w:r>
        <w:t>Accionable: 5 – Si el porcentaje es bajo, se lanza un programa de revisión contractual.</w:t>
      </w:r>
    </w:p>
    <w:p>
      <w:pPr>
        <w:pStyle w:val="ListBullet"/>
        <w:keepLines w:val="1"/>
        <w:keepNext w:val="1"/>
        <w:widowControl w:val="1"/>
      </w:pPr>
      <w:r>
        <w:t>Genuino: 4 – Verificable mediante revisión documental.</w:t>
      </w:r>
    </w:p>
    <w:p>
      <w:pPr>
        <w:pStyle w:val="ListBullet"/>
        <w:keepLines w:val="1"/>
        <w:keepNext w:val="1"/>
        <w:widowControl w:val="1"/>
      </w:pPr>
      <w:r>
        <w:t>Significativo: 4 – Muy comprensible para gestores de compras y riesgo.</w:t>
      </w:r>
    </w:p>
    <w:p>
      <w:pPr>
        <w:pStyle w:val="ListBullet"/>
        <w:keepLines w:val="1"/>
        <w:keepNext w:val="1"/>
        <w:widowControl w:val="1"/>
      </w:pPr>
      <w:r>
        <w:t>Preciso: 4 – Requiere inventario claro de proveedores críticos.</w:t>
      </w:r>
    </w:p>
    <w:p>
      <w:pPr>
        <w:pStyle w:val="ListBullet"/>
        <w:keepLines w:val="1"/>
        <w:keepNext w:val="1"/>
        <w:widowControl w:val="1"/>
      </w:pPr>
      <w:r>
        <w:t>Oportuno: 3 – Se revisa anualmente o en ciclos de contratación.</w:t>
      </w:r>
    </w:p>
    <w:p>
      <w:pPr>
        <w:pStyle w:val="ListBullet"/>
        <w:keepLines w:val="1"/>
        <w:keepNext w:val="1"/>
        <w:widowControl w:val="1"/>
      </w:pPr>
      <w:r>
        <w:t>Independiente: 4 – Puede auditarse de forma externa.</w:t>
      </w:r>
    </w:p>
    <w:p>
      <w:pPr>
        <w:pStyle w:val="ListBullet"/>
        <w:keepLines w:val="1"/>
        <w:widowControl w:val="1"/>
      </w:pPr>
      <w:r>
        <w:t>Rentable: 4 – El coste es el de revisar contratos, a menudo necesario por otras razones.</w:t>
      </w:r>
    </w:p>
    <w:p>
      <w:pPr>
        <w:pStyle w:val="Heading2"/>
        <w:keepNext/>
        <w:keepLines/>
      </w:pPr>
      <w:r>
        <w:rPr>
          <w:color w:val="0066CC"/>
        </w:rPr>
        <w:t>3. Uso del marco en práctica</w:t>
      </w:r>
    </w:p>
    <w:p>
      <w:pPr>
        <w:pStyle w:val="ListNumber"/>
        <w:keepLines w:val="1"/>
        <w:keepNext w:val="1"/>
        <w:widowControl w:val="1"/>
      </w:pPr>
      <w:r>
        <w:t>Seleccionar los objetivos estratégicos de ciberseguridad (nacionales o corporativos).</w:t>
      </w:r>
    </w:p>
    <w:p>
      <w:pPr>
        <w:pStyle w:val="ListNumber"/>
        <w:keepLines w:val="1"/>
        <w:keepNext w:val="1"/>
        <w:widowControl w:val="1"/>
      </w:pPr>
      <w:r>
        <w:t>Derivar para cada objetivo un conjunto de preguntas clave (GQM).</w:t>
      </w:r>
    </w:p>
    <w:p>
      <w:pPr>
        <w:pStyle w:val="ListNumber"/>
        <w:keepLines w:val="1"/>
        <w:keepNext w:val="1"/>
        <w:widowControl w:val="1"/>
      </w:pPr>
      <w:r>
        <w:t>Asociar a cada pregunta una o varias métricas operativas específicas.</w:t>
      </w:r>
    </w:p>
    <w:p>
      <w:pPr>
        <w:pStyle w:val="ListNumber"/>
        <w:keepLines w:val="1"/>
        <w:keepNext w:val="1"/>
        <w:widowControl w:val="1"/>
      </w:pPr>
      <w:r>
        <w:t>Evaluar cada métrica según PRAGMATIC para priorizar cuáles se mantienen, mejoran o sustituyen.</w:t>
      </w:r>
    </w:p>
    <w:p>
      <w:pPr>
        <w:pStyle w:val="ListNumber"/>
        <w:keepLines w:val="1"/>
        <w:widowControl w:val="1"/>
      </w:pPr>
      <w:r>
        <w:t>Construir un cuadro de mando donde solo sobrevivan las métricas que pasan el filtro PRAGMATIC con puntuaciones altas globales.</w:t>
      </w:r>
    </w:p>
    <w:p>
      <w:r>
        <w:t>Este marco permite asegurar trazabilidad desde los objetivos de alto nivel hasta los datos técnicos de operación, y a la vez evitar la proliferación de métricas que “quedan bien” pero no predicen, no son accionables o cuestan más de lo que valen.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