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Modelo de Encuesta Integral NIST CSF 2.0</w:t>
      </w:r>
    </w:p>
    <w:p>
      <w:pPr>
        <w:pStyle w:val="Heading2"/>
        <w:keepNext/>
        <w:keepLines/>
      </w:pPr>
      <w:r>
        <w:rPr>
          <w:color w:val="0066CC"/>
        </w:rPr>
        <w:t>Aplicación a organizaciones en España (sector público y privado)</w:t>
      </w:r>
    </w:p>
    <w:p>
      <w:r>
        <w:t>Objetivo: Recoger información estructurada sobre la adopción, madurez y métricas asociadas al NIST CSF 2.0 (o marcos equivalentes) en organizaciones españolas, con foco en indicadores de gobernanza, riesgo, operación y resiliencia.</w:t>
      </w:r>
    </w:p>
    <w:p>
      <w:pPr>
        <w:pStyle w:val="Heading2"/>
        <w:keepNext/>
        <w:keepLines/>
      </w:pPr>
      <w:r>
        <w:rPr>
          <w:color w:val="0066CC"/>
        </w:rPr>
        <w:t>0. Datos generales de la organización</w:t>
      </w:r>
    </w:p>
    <w:p>
      <w:r>
        <w:rPr>
          <w:b/>
        </w:rPr>
        <w:t>0.1. Tipo de organización</w:t>
      </w:r>
    </w:p>
    <w:p>
      <w:pPr>
        <w:pStyle w:val="ListBullet"/>
        <w:keepLines w:val="1"/>
        <w:keepNext w:val="1"/>
        <w:widowControl w:val="1"/>
      </w:pPr>
      <w:r>
        <w:t xml:space="preserve">[ ] Administración pública (AGE, CCAA, EELL)  </w:t>
      </w:r>
    </w:p>
    <w:p>
      <w:pPr>
        <w:pStyle w:val="ListBullet"/>
        <w:keepLines w:val="1"/>
        <w:keepNext w:val="1"/>
        <w:widowControl w:val="1"/>
      </w:pPr>
      <w:r>
        <w:t xml:space="preserve">[ ] Organismo público independiente / Agencia  </w:t>
      </w:r>
    </w:p>
    <w:p>
      <w:pPr>
        <w:pStyle w:val="ListBullet"/>
        <w:keepLines w:val="1"/>
        <w:keepNext w:val="1"/>
        <w:widowControl w:val="1"/>
      </w:pPr>
      <w:r>
        <w:t xml:space="preserve">[ ] Operador de servicios esenciales (OES, NIS/NIS2)  </w:t>
      </w:r>
    </w:p>
    <w:p>
      <w:pPr>
        <w:pStyle w:val="ListBullet"/>
        <w:keepLines w:val="1"/>
        <w:keepNext w:val="1"/>
        <w:widowControl w:val="1"/>
      </w:pPr>
      <w:r>
        <w:t xml:space="preserve">[ ] Entidad financiera / crítica (DORA)  </w:t>
      </w:r>
    </w:p>
    <w:p>
      <w:pPr>
        <w:pStyle w:val="ListBullet"/>
        <w:keepLines w:val="1"/>
        <w:keepNext w:val="1"/>
        <w:widowControl w:val="1"/>
      </w:pPr>
      <w:r>
        <w:t xml:space="preserve">[ ] Empresa privada grande (&gt; 250 empleados)  </w:t>
      </w:r>
    </w:p>
    <w:p>
      <w:pPr>
        <w:pStyle w:val="ListBullet"/>
        <w:keepLines w:val="1"/>
        <w:keepNext w:val="1"/>
        <w:widowControl w:val="1"/>
      </w:pPr>
      <w:r>
        <w:t xml:space="preserve">[ ] PYME tecnológica / digital  </w:t>
      </w:r>
    </w:p>
    <w:p>
      <w:pPr>
        <w:pStyle w:val="ListBullet"/>
        <w:keepLines w:val="1"/>
        <w:widowControl w:val="1"/>
      </w:pPr>
      <w:r>
        <w:t>[ ] Otro (especificar): _________</w:t>
      </w:r>
    </w:p>
    <w:p>
      <w:r>
        <w:rPr>
          <w:b/>
        </w:rPr>
        <w:t>0.2. Sector principal de actividad</w:t>
      </w:r>
    </w:p>
    <w:p>
      <w:pPr>
        <w:pStyle w:val="ListBullet"/>
        <w:keepLines w:val="1"/>
        <w:keepNext w:val="1"/>
        <w:widowControl w:val="1"/>
      </w:pPr>
      <w:r>
        <w:t xml:space="preserve">[ ] Administración / servicios públicos  </w:t>
      </w:r>
    </w:p>
    <w:p>
      <w:pPr>
        <w:pStyle w:val="ListBullet"/>
        <w:keepLines w:val="1"/>
        <w:keepNext w:val="1"/>
        <w:widowControl w:val="1"/>
      </w:pPr>
      <w:r>
        <w:t xml:space="preserve">[ ] Salud  </w:t>
      </w:r>
    </w:p>
    <w:p>
      <w:pPr>
        <w:pStyle w:val="ListBullet"/>
        <w:keepLines w:val="1"/>
        <w:keepNext w:val="1"/>
        <w:widowControl w:val="1"/>
      </w:pPr>
      <w:r>
        <w:t xml:space="preserve">[ ] Energía  </w:t>
      </w:r>
    </w:p>
    <w:p>
      <w:pPr>
        <w:pStyle w:val="ListBullet"/>
        <w:keepLines w:val="1"/>
        <w:keepNext w:val="1"/>
        <w:widowControl w:val="1"/>
      </w:pPr>
      <w:r>
        <w:t xml:space="preserve">[ ] Transporte y logística  </w:t>
      </w:r>
    </w:p>
    <w:p>
      <w:pPr>
        <w:pStyle w:val="ListBullet"/>
        <w:keepLines w:val="1"/>
        <w:keepNext w:val="1"/>
        <w:widowControl w:val="1"/>
      </w:pPr>
      <w:r>
        <w:t xml:space="preserve">[ ] Finanzas / seguros  </w:t>
      </w:r>
    </w:p>
    <w:p>
      <w:pPr>
        <w:pStyle w:val="ListBullet"/>
        <w:keepLines w:val="1"/>
        <w:keepNext w:val="1"/>
        <w:widowControl w:val="1"/>
      </w:pPr>
      <w:r>
        <w:t xml:space="preserve">[ ] Industria / manufactura / OT  </w:t>
      </w:r>
    </w:p>
    <w:p>
      <w:pPr>
        <w:pStyle w:val="ListBullet"/>
        <w:keepLines w:val="1"/>
        <w:keepNext w:val="1"/>
        <w:widowControl w:val="1"/>
      </w:pPr>
      <w:r>
        <w:t xml:space="preserve">[ ] Telecomunicaciones  </w:t>
      </w:r>
    </w:p>
    <w:p>
      <w:pPr>
        <w:pStyle w:val="ListBullet"/>
        <w:keepLines w:val="1"/>
        <w:keepNext w:val="1"/>
        <w:widowControl w:val="1"/>
      </w:pPr>
      <w:r>
        <w:t xml:space="preserve">[ ] TIC / servicios digitales  </w:t>
      </w:r>
    </w:p>
    <w:p>
      <w:pPr>
        <w:pStyle w:val="ListBullet"/>
        <w:keepLines w:val="1"/>
        <w:keepNext w:val="1"/>
        <w:widowControl w:val="1"/>
      </w:pPr>
      <w:r>
        <w:t xml:space="preserve">[ ] Educación / universidad / I+D  </w:t>
      </w:r>
    </w:p>
    <w:p>
      <w:pPr>
        <w:pStyle w:val="ListBullet"/>
        <w:keepLines w:val="1"/>
        <w:widowControl w:val="1"/>
      </w:pPr>
      <w:r>
        <w:t>[ ] Otros: _________</w:t>
      </w:r>
    </w:p>
    <w:p>
      <w:r>
        <w:rPr>
          <w:b/>
        </w:rPr>
        <w:t>0.3. Tamaño aproximado</w:t>
      </w:r>
    </w:p>
    <w:p>
      <w:pPr>
        <w:pStyle w:val="ListBullet"/>
        <w:keepLines w:val="1"/>
        <w:keepNext w:val="1"/>
        <w:widowControl w:val="1"/>
      </w:pPr>
      <w:r>
        <w:t xml:space="preserve">[ ] &lt; 50 empleados  </w:t>
      </w:r>
    </w:p>
    <w:p>
      <w:pPr>
        <w:pStyle w:val="ListBullet"/>
        <w:keepLines w:val="1"/>
        <w:keepNext w:val="1"/>
        <w:widowControl w:val="1"/>
      </w:pPr>
      <w:r>
        <w:t xml:space="preserve">[ ] 50–249 empleados  </w:t>
      </w:r>
    </w:p>
    <w:p>
      <w:pPr>
        <w:pStyle w:val="ListBullet"/>
        <w:keepLines w:val="1"/>
        <w:keepNext w:val="1"/>
        <w:widowControl w:val="1"/>
      </w:pPr>
      <w:r>
        <w:t xml:space="preserve">[ ] 250–999 empleados  </w:t>
      </w:r>
    </w:p>
    <w:p>
      <w:pPr>
        <w:pStyle w:val="ListBullet"/>
        <w:keepLines w:val="1"/>
        <w:keepNext w:val="1"/>
        <w:widowControl w:val="1"/>
      </w:pPr>
      <w:r>
        <w:t xml:space="preserve">[ ] 1 000–4 999 empleados  </w:t>
      </w:r>
    </w:p>
    <w:p>
      <w:pPr>
        <w:pStyle w:val="ListBullet"/>
        <w:keepLines w:val="1"/>
        <w:widowControl w:val="1"/>
      </w:pPr>
      <w:r>
        <w:t>[ ] ≥ 5 000 empleados</w:t>
      </w:r>
    </w:p>
    <w:p>
      <w:r>
        <w:rPr>
          <w:b/>
        </w:rPr>
        <w:t>0.4. Rol de la persona que responde</w:t>
      </w:r>
    </w:p>
    <w:p>
      <w:pPr>
        <w:pStyle w:val="ListBullet"/>
        <w:keepLines w:val="1"/>
        <w:keepNext w:val="1"/>
        <w:widowControl w:val="1"/>
      </w:pPr>
      <w:r>
        <w:t xml:space="preserve">[ ] CISO / Director de Seguridad de la Información  </w:t>
      </w:r>
    </w:p>
    <w:p>
      <w:pPr>
        <w:pStyle w:val="ListBullet"/>
        <w:keepLines w:val="1"/>
        <w:keepNext w:val="1"/>
        <w:widowControl w:val="1"/>
      </w:pPr>
      <w:r>
        <w:t xml:space="preserve">[ ] Responsable de TI / CIO  </w:t>
      </w:r>
    </w:p>
    <w:p>
      <w:pPr>
        <w:pStyle w:val="ListBullet"/>
        <w:keepLines w:val="1"/>
        <w:keepNext w:val="1"/>
        <w:widowControl w:val="1"/>
      </w:pPr>
      <w:r>
        <w:t xml:space="preserve">[ ] Responsable de Continuidad / Riesgos  </w:t>
      </w:r>
    </w:p>
    <w:p>
      <w:pPr>
        <w:pStyle w:val="ListBullet"/>
        <w:keepLines w:val="1"/>
        <w:keepNext w:val="1"/>
        <w:widowControl w:val="1"/>
      </w:pPr>
      <w:r>
        <w:t xml:space="preserve">[ ] Responsable de Cumplimiento / Auditoría / DPO  </w:t>
      </w:r>
    </w:p>
    <w:p>
      <w:pPr>
        <w:pStyle w:val="ListBullet"/>
        <w:keepLines w:val="1"/>
        <w:keepNext w:val="1"/>
        <w:widowControl w:val="1"/>
      </w:pPr>
      <w:r>
        <w:t xml:space="preserve">[ ] Dirección General / CEO / Gerencia  </w:t>
      </w:r>
    </w:p>
    <w:p>
      <w:pPr>
        <w:pStyle w:val="ListBullet"/>
        <w:keepLines w:val="1"/>
        <w:widowControl w:val="1"/>
      </w:pPr>
      <w:r>
        <w:t>[ ] Otro (especificar): _________</w:t>
      </w:r>
    </w:p>
    <w:p>
      <w:pPr>
        <w:pStyle w:val="Heading2"/>
        <w:keepNext/>
        <w:keepLines/>
      </w:pPr>
      <w:r>
        <w:rPr>
          <w:color w:val="0066CC"/>
        </w:rPr>
        <w:t>1. GOVERN (GV) – Estrategia, gobierno y apetito de riesgo</w:t>
      </w:r>
    </w:p>
    <w:p>
      <w:pPr>
        <w:pStyle w:val="Heading3"/>
        <w:keepNext/>
        <w:keepLines/>
      </w:pPr>
      <w:r>
        <w:t>1.1. Estrategia y objetivos de ciberseguridad</w:t>
      </w:r>
    </w:p>
    <w:p>
      <w:r>
        <w:rPr>
          <w:b/>
        </w:rPr>
        <w:t>P-GV-01. ¿Dispone la organización de una estrategia formal de ciberseguridad o documento equivalente aprobado por la alta dirección o el órgano de gobierno?</w:t>
      </w:r>
    </w:p>
    <w:p>
      <w:pPr>
        <w:pStyle w:val="ListBullet"/>
        <w:keepLines w:val="1"/>
        <w:keepNext w:val="1"/>
        <w:widowControl w:val="1"/>
      </w:pPr>
      <w:r>
        <w:t xml:space="preserve">[ ] No existe tal documento; confiamos en el orden espontáneo.  </w:t>
      </w:r>
    </w:p>
    <w:p>
      <w:pPr>
        <w:pStyle w:val="ListBullet"/>
        <w:keepLines w:val="1"/>
        <w:keepNext w:val="1"/>
        <w:widowControl w:val="1"/>
      </w:pPr>
      <w:r>
        <w:t xml:space="preserve">[ ] Existe en borrador, con cierta vocación de convertirse en realidad.  </w:t>
      </w:r>
    </w:p>
    <w:p>
      <w:pPr>
        <w:pStyle w:val="ListBullet"/>
        <w:keepLines w:val="1"/>
        <w:keepNext w:val="1"/>
        <w:widowControl w:val="1"/>
      </w:pPr>
      <w:r>
        <w:t xml:space="preserve">[ ] Existe y está aprobado, pero se revisa de forma esporádica.  </w:t>
      </w:r>
    </w:p>
    <w:p>
      <w:pPr>
        <w:pStyle w:val="ListBullet"/>
        <w:keepLines w:val="1"/>
        <w:keepNext w:val="1"/>
        <w:widowControl w:val="1"/>
      </w:pPr>
      <w:r>
        <w:t xml:space="preserve">[ ] Existe, está aprobado y se revisa al menos cada 2 años con datos objetivos.  </w:t>
      </w:r>
    </w:p>
    <w:p>
      <w:pPr>
        <w:pStyle w:val="ListBullet"/>
        <w:keepLines w:val="1"/>
        <w:widowControl w:val="1"/>
      </w:pPr>
      <w:r>
        <w:t>[ ] Existe, se revisa al menos anualmente y se alinea con planes y presupuestos.</w:t>
      </w:r>
    </w:p>
    <w:p>
      <w:r>
        <w:rPr>
          <w:b/>
        </w:rPr>
        <w:t>P-GV-02. ¿En qué medida los objetivos de ciberseguridad están formulados con métricas claras (KPIs/KRIs) asociadas?</w:t>
      </w:r>
    </w:p>
    <w:p>
      <w:pPr>
        <w:pStyle w:val="ListBullet"/>
        <w:keepLines w:val="1"/>
        <w:keepNext w:val="1"/>
        <w:widowControl w:val="1"/>
      </w:pPr>
      <w:r>
        <w:t xml:space="preserve">[ ] Prácticamente nada: los objetivos son frases inspiracionales.  </w:t>
      </w:r>
    </w:p>
    <w:p>
      <w:pPr>
        <w:pStyle w:val="ListBullet"/>
        <w:keepLines w:val="1"/>
        <w:keepNext w:val="1"/>
        <w:widowControl w:val="1"/>
      </w:pPr>
      <w:r>
        <w:t xml:space="preserve">[ ] Algunos objetivos tienen métricas, pero su seguimiento es ocasional.  </w:t>
      </w:r>
    </w:p>
    <w:p>
      <w:pPr>
        <w:pStyle w:val="ListBullet"/>
        <w:keepLines w:val="1"/>
        <w:keepNext w:val="1"/>
        <w:widowControl w:val="1"/>
      </w:pPr>
      <w:r>
        <w:t xml:space="preserve">[ ] La mayoría de los objetivos clave tienen métricas y se revisan al menos anualmente.  </w:t>
      </w:r>
    </w:p>
    <w:p>
      <w:pPr>
        <w:pStyle w:val="ListBullet"/>
        <w:keepLines w:val="1"/>
        <w:widowControl w:val="1"/>
      </w:pPr>
      <w:r>
        <w:t xml:space="preserve">[ ] Los objetivos se formulan sistemáticamente con métricas, revisadas periódicamente y usadas en la toma de decisiones.  </w:t>
      </w:r>
    </w:p>
    <w:p>
      <w:r>
        <w:rPr>
          <w:b/>
        </w:rPr>
        <w:t>P-GV-03. Frecuencia de revisión de la estrategia de ciberseguridad</w:t>
      </w:r>
    </w:p>
    <w:p>
      <w:pPr>
        <w:pStyle w:val="ListBullet"/>
        <w:keepLines w:val="1"/>
        <w:keepNext w:val="1"/>
        <w:widowControl w:val="1"/>
      </w:pPr>
      <w:r>
        <w:t xml:space="preserve">[ ] Solo después de un susto épico (incidente grave, auditoría demoledora).  </w:t>
      </w:r>
    </w:p>
    <w:p>
      <w:pPr>
        <w:pStyle w:val="ListBullet"/>
        <w:keepLines w:val="1"/>
        <w:keepNext w:val="1"/>
        <w:widowControl w:val="1"/>
      </w:pPr>
      <w:r>
        <w:t xml:space="preserve">[ ] Menos de una vez cada 3 años.  </w:t>
      </w:r>
    </w:p>
    <w:p>
      <w:pPr>
        <w:pStyle w:val="ListBullet"/>
        <w:keepLines w:val="1"/>
        <w:keepNext w:val="1"/>
        <w:widowControl w:val="1"/>
      </w:pPr>
      <w:r>
        <w:t xml:space="preserve">[ ] Cada 2–3 años, de forma razonablemente estructurada.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año, incorporando lecciones aprendidas e indicadores.  </w:t>
      </w:r>
    </w:p>
    <w:p>
      <w:pPr>
        <w:pStyle w:val="ListBullet"/>
        <w:keepLines w:val="1"/>
        <w:widowControl w:val="1"/>
      </w:pPr>
      <w:r>
        <w:t>[ ] Revisión continua, con ajustes frecuentes sobre la base de datos y evolución de riesgos.</w:t>
      </w:r>
    </w:p>
    <w:p>
      <w:pPr>
        <w:pStyle w:val="Heading3"/>
        <w:keepNext/>
        <w:keepLines/>
      </w:pPr>
      <w:r>
        <w:t>1.2. Apetito y tolerancia al riesgo</w:t>
      </w:r>
    </w:p>
    <w:p>
      <w:r>
        <w:rPr>
          <w:b/>
        </w:rPr>
        <w:t>P-GV-04. ¿La organización dispone de una declaración formal de apetito de riesgo en materia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No; el apetito de riesgo se intuye por el tamaño de las brechas.  </w:t>
      </w:r>
    </w:p>
    <w:p>
      <w:pPr>
        <w:pStyle w:val="ListBullet"/>
        <w:keepLines w:val="1"/>
        <w:keepNext w:val="1"/>
        <w:widowControl w:val="1"/>
      </w:pPr>
      <w:r>
        <w:t xml:space="preserve">[ ] Existe una declaración general, sin detalles específicos de ciberseguridad.  </w:t>
      </w:r>
    </w:p>
    <w:p>
      <w:pPr>
        <w:pStyle w:val="ListBullet"/>
        <w:keepLines w:val="1"/>
        <w:keepNext w:val="1"/>
        <w:widowControl w:val="1"/>
      </w:pPr>
      <w:r>
        <w:t xml:space="preserve">[ ] Existe una declaración específica para ciberriesgo, pero poco conocida.  </w:t>
      </w:r>
    </w:p>
    <w:p>
      <w:pPr>
        <w:pStyle w:val="ListBullet"/>
        <w:keepLines w:val="1"/>
        <w:widowControl w:val="1"/>
      </w:pPr>
      <w:r>
        <w:t xml:space="preserve">[ ] Existe, es comunicada y se traduce en límites y criterios operativos (p.ej., umbrales de riesgo aceptable).  </w:t>
      </w:r>
    </w:p>
    <w:p>
      <w:r>
        <w:rPr>
          <w:b/>
        </w:rPr>
        <w:t>P-GV-05. ¿Cómo se utiliza la declaración de apetito de riesgo en la práctica? (respuesta múltiple)</w:t>
      </w:r>
    </w:p>
    <w:p>
      <w:pPr>
        <w:pStyle w:val="ListBullet"/>
        <w:keepLines w:val="1"/>
        <w:keepNext w:val="1"/>
        <w:widowControl w:val="1"/>
      </w:pPr>
      <w:r>
        <w:t xml:space="preserve">[ ] Se utiliza para decidir sobre inversiones en seguridad.  </w:t>
      </w:r>
    </w:p>
    <w:p>
      <w:pPr>
        <w:pStyle w:val="ListBullet"/>
        <w:keepLines w:val="1"/>
        <w:keepNext w:val="1"/>
        <w:widowControl w:val="1"/>
      </w:pPr>
      <w:r>
        <w:t xml:space="preserve">[ ] Se utiliza para priorizar proyectos / iniciativas de mitigación.  </w:t>
      </w:r>
    </w:p>
    <w:p>
      <w:pPr>
        <w:pStyle w:val="ListBullet"/>
        <w:keepLines w:val="1"/>
        <w:keepNext w:val="1"/>
        <w:widowControl w:val="1"/>
      </w:pPr>
      <w:r>
        <w:t xml:space="preserve">[ ] Se integra en el proceso de gestión de riesgos corporativo.  </w:t>
      </w:r>
    </w:p>
    <w:p>
      <w:pPr>
        <w:pStyle w:val="ListBullet"/>
        <w:keepLines w:val="1"/>
        <w:keepNext w:val="1"/>
        <w:widowControl w:val="1"/>
      </w:pPr>
      <w:r>
        <w:t xml:space="preserve">[ ] Se utiliza para aprobar o rechazar excepciones de seguridad.  </w:t>
      </w:r>
    </w:p>
    <w:p>
      <w:pPr>
        <w:pStyle w:val="ListBullet"/>
        <w:keepLines w:val="1"/>
        <w:widowControl w:val="1"/>
      </w:pPr>
      <w:r>
        <w:t>[ ] No se utiliza de forma explícita (es más un cuadro en la pared que una herramienta de trabajo).</w:t>
      </w:r>
    </w:p>
    <w:p>
      <w:pPr>
        <w:pStyle w:val="Heading3"/>
        <w:keepNext/>
        <w:keepLines/>
      </w:pPr>
      <w:r>
        <w:t>1.3. Roles, responsabilidades y supervisión</w:t>
      </w:r>
    </w:p>
    <w:p>
      <w:r>
        <w:rPr>
          <w:b/>
        </w:rPr>
        <w:t>P-GV-06. ¿Existe un responsable de ciberseguridad formalmente designado con responsabilidad global (CISO o equivalente)?</w:t>
      </w:r>
    </w:p>
    <w:p>
      <w:pPr>
        <w:pStyle w:val="ListBullet"/>
        <w:keepLines w:val="1"/>
        <w:keepNext w:val="1"/>
        <w:widowControl w:val="1"/>
      </w:pPr>
      <w:r>
        <w:t xml:space="preserve">[ ] No, la seguridad es un deporte parcialmente voluntario.  </w:t>
      </w:r>
    </w:p>
    <w:p>
      <w:pPr>
        <w:pStyle w:val="ListBullet"/>
        <w:keepLines w:val="1"/>
        <w:keepNext w:val="1"/>
        <w:widowControl w:val="1"/>
      </w:pPr>
      <w:r>
        <w:t xml:space="preserve">[ ] Sí, pero el rol se combina con otros (p.ej., responsable de TI).  </w:t>
      </w:r>
    </w:p>
    <w:p>
      <w:pPr>
        <w:pStyle w:val="ListBullet"/>
        <w:keepLines w:val="1"/>
        <w:widowControl w:val="1"/>
      </w:pPr>
      <w:r>
        <w:t xml:space="preserve">[ ] Sí, rol diferenciado, con mandato explícito y autoridad suficiente.  </w:t>
      </w:r>
    </w:p>
    <w:p>
      <w:r>
        <w:rPr>
          <w:b/>
        </w:rPr>
        <w:t>P-GV-07. ¿Con qué frecuencia se informa a la alta dirección / consejo sobre el estado de la ciberseguridad?</w:t>
      </w:r>
    </w:p>
    <w:p>
      <w:pPr>
        <w:pStyle w:val="ListBullet"/>
        <w:keepLines w:val="1"/>
        <w:keepNext w:val="1"/>
        <w:widowControl w:val="1"/>
      </w:pPr>
      <w:r>
        <w:t xml:space="preserve">[ ] Solo después de incidentes graves o auditorías.  </w:t>
      </w:r>
    </w:p>
    <w:p>
      <w:pPr>
        <w:pStyle w:val="ListBullet"/>
        <w:keepLines w:val="1"/>
        <w:keepNext w:val="1"/>
        <w:widowControl w:val="1"/>
      </w:pPr>
      <w:r>
        <w:t xml:space="preserve">[ ] Anualmente, de forma sumaria.  </w:t>
      </w:r>
    </w:p>
    <w:p>
      <w:pPr>
        <w:pStyle w:val="ListBullet"/>
        <w:keepLines w:val="1"/>
        <w:keepNext w:val="1"/>
        <w:widowControl w:val="1"/>
      </w:pPr>
      <w:r>
        <w:t xml:space="preserve">[ ] Trimestralmente o similar, con indicadores estructurados.  </w:t>
      </w:r>
    </w:p>
    <w:p>
      <w:pPr>
        <w:pStyle w:val="ListBullet"/>
        <w:keepLines w:val="1"/>
        <w:widowControl w:val="1"/>
      </w:pPr>
      <w:r>
        <w:t>[ ] Mensualmente o casi, con KPIs/KRIs y planes de acción.</w:t>
      </w:r>
    </w:p>
    <w:p>
      <w:r>
        <w:rPr>
          <w:b/>
        </w:rPr>
        <w:t>P-GV-08. ¿Estos informes incluyen indicadores cuantitativos (KPIs/KRIs) alineados con NIST CSF o marcos equivalentes?</w:t>
      </w:r>
    </w:p>
    <w:p>
      <w:pPr>
        <w:pStyle w:val="ListBullet"/>
        <w:keepLines w:val="1"/>
        <w:keepNext w:val="1"/>
        <w:widowControl w:val="1"/>
      </w:pPr>
      <w:r>
        <w:t xml:space="preserve">[ ] No, se basan en texto narrativo y anécdotas heroicas.  </w:t>
      </w:r>
    </w:p>
    <w:p>
      <w:pPr>
        <w:pStyle w:val="ListBullet"/>
        <w:keepLines w:val="1"/>
        <w:keepNext w:val="1"/>
        <w:widowControl w:val="1"/>
      </w:pPr>
      <w:r>
        <w:t xml:space="preserve">[ ] Incluyen algunos datos, pero sin estructura de marco de referencia.  </w:t>
      </w:r>
    </w:p>
    <w:p>
      <w:pPr>
        <w:pStyle w:val="ListBullet"/>
        <w:keepLines w:val="1"/>
        <w:keepNext w:val="1"/>
        <w:widowControl w:val="1"/>
      </w:pPr>
      <w:r>
        <w:t xml:space="preserve">[ ] Incluyen un conjunto estable de KPIs/KRIs agrupados por dominios (gobernanza, riesgo, operación, resiliencia).  </w:t>
      </w:r>
    </w:p>
    <w:p>
      <w:pPr>
        <w:pStyle w:val="ListBullet"/>
        <w:keepLines w:val="1"/>
        <w:widowControl w:val="1"/>
      </w:pPr>
      <w:r>
        <w:t>[ ] Están mapeados explícitamente al NIST CSF (u otro marco estructurado) y se utilizan para evaluar la madurez.</w:t>
      </w:r>
    </w:p>
    <w:p>
      <w:pPr>
        <w:pStyle w:val="Heading2"/>
        <w:keepNext/>
        <w:keepLines/>
      </w:pPr>
      <w:r>
        <w:rPr>
          <w:color w:val="0066CC"/>
        </w:rPr>
        <w:t>2. IDENTIFY (ID) – Activos, datos, contexto y riesgo</w:t>
      </w:r>
    </w:p>
    <w:p>
      <w:pPr>
        <w:pStyle w:val="Heading3"/>
        <w:keepNext/>
        <w:keepLines/>
      </w:pPr>
      <w:r>
        <w:t>2.1. Inventario de activos</w:t>
      </w:r>
    </w:p>
    <w:p>
      <w:r>
        <w:rPr>
          <w:b/>
        </w:rPr>
        <w:t>P-ID-01. ¿En qué medida dispone la organización de un inventario actualizado de activos (IT, OT, IoT, nube)?</w:t>
      </w:r>
    </w:p>
    <w:p>
      <w:pPr>
        <w:pStyle w:val="ListBullet"/>
        <w:keepLines w:val="1"/>
        <w:keepNext w:val="1"/>
        <w:widowControl w:val="1"/>
      </w:pPr>
      <w:r>
        <w:t xml:space="preserve">[ ] No existe inventario o está tan desactualizado que vale más la intuición.  </w:t>
      </w:r>
    </w:p>
    <w:p>
      <w:pPr>
        <w:pStyle w:val="ListBullet"/>
        <w:keepLines w:val="1"/>
        <w:keepNext w:val="1"/>
        <w:widowControl w:val="1"/>
      </w:pPr>
      <w:r>
        <w:t xml:space="preserve">[ ] Inventario parcial, mantenido manualmente, con lag temporal significativo.  </w:t>
      </w:r>
    </w:p>
    <w:p>
      <w:pPr>
        <w:pStyle w:val="ListBullet"/>
        <w:keepLines w:val="1"/>
        <w:keepNext w:val="1"/>
        <w:widowControl w:val="1"/>
      </w:pPr>
      <w:r>
        <w:t xml:space="preserve">[ ] Inventario razonablemente completo, con apoyo de herramientas pero con huecos.  </w:t>
      </w:r>
    </w:p>
    <w:p>
      <w:pPr>
        <w:pStyle w:val="ListBullet"/>
        <w:keepLines w:val="1"/>
        <w:widowControl w:val="1"/>
      </w:pPr>
      <w:r>
        <w:t xml:space="preserve">[ ] Inventario casi completo, automatizado y con procesos de actualización fiables.  </w:t>
      </w:r>
    </w:p>
    <w:p>
      <w:r>
        <w:rPr>
          <w:b/>
        </w:rPr>
        <w:t>P-ID-02. Estimación del grado de cobertura del inventario automatizado</w:t>
      </w:r>
    </w:p>
    <w:p>
      <w:pPr>
        <w:pStyle w:val="ListBullet"/>
        <w:keepLines w:val="1"/>
        <w:keepNext w:val="1"/>
        <w:widowControl w:val="1"/>
      </w:pPr>
      <w:r>
        <w:t xml:space="preserve">[ ] &lt; 50 % de los activos estimados.  </w:t>
      </w:r>
    </w:p>
    <w:p>
      <w:pPr>
        <w:pStyle w:val="ListBullet"/>
        <w:keepLines w:val="1"/>
        <w:keepNext w:val="1"/>
        <w:widowControl w:val="1"/>
      </w:pPr>
      <w:r>
        <w:t xml:space="preserve">[ ] 50–80 %.  </w:t>
      </w:r>
    </w:p>
    <w:p>
      <w:pPr>
        <w:pStyle w:val="ListBullet"/>
        <w:keepLines w:val="1"/>
        <w:keepNext w:val="1"/>
        <w:widowControl w:val="1"/>
      </w:pPr>
      <w:r>
        <w:t xml:space="preserve">[ ] 81–95 %.  </w:t>
      </w:r>
    </w:p>
    <w:p>
      <w:pPr>
        <w:pStyle w:val="ListBullet"/>
        <w:keepLines w:val="1"/>
        <w:widowControl w:val="1"/>
      </w:pPr>
      <w:r>
        <w:t>[ ] &gt; 95 %, con descubrimiento continuo.</w:t>
      </w:r>
    </w:p>
    <w:p>
      <w:pPr>
        <w:pStyle w:val="Heading3"/>
        <w:keepNext/>
        <w:keepLines/>
      </w:pPr>
      <w:r>
        <w:t>2.2. Datos y clasificación</w:t>
      </w:r>
    </w:p>
    <w:p>
      <w:r>
        <w:rPr>
          <w:b/>
        </w:rPr>
        <w:t>P-ID-03. ¿Se encuentran los datos clave (PII, datos financieros, datos OT, propiedad intelectual) identificados y clasificados?</w:t>
      </w:r>
    </w:p>
    <w:p>
      <w:pPr>
        <w:pStyle w:val="ListBullet"/>
        <w:keepLines w:val="1"/>
        <w:keepNext w:val="1"/>
        <w:widowControl w:val="1"/>
      </w:pPr>
      <w:r>
        <w:t xml:space="preserve">[ ] No, los datos fluyen libremente como novelas por entregas.  </w:t>
      </w:r>
    </w:p>
    <w:p>
      <w:pPr>
        <w:pStyle w:val="ListBullet"/>
        <w:keepLines w:val="1"/>
        <w:keepNext w:val="1"/>
        <w:widowControl w:val="1"/>
      </w:pPr>
      <w:r>
        <w:t xml:space="preserve">[ ] Parcialmente, en sistemas más críticos o regulados.  </w:t>
      </w:r>
    </w:p>
    <w:p>
      <w:pPr>
        <w:pStyle w:val="ListBullet"/>
        <w:keepLines w:val="1"/>
        <w:keepNext w:val="1"/>
        <w:widowControl w:val="1"/>
      </w:pPr>
      <w:r>
        <w:t xml:space="preserve">[ ] Mayoritariamente, con clasificación coherente y propietarios de datos asignados.  </w:t>
      </w:r>
    </w:p>
    <w:p>
      <w:pPr>
        <w:pStyle w:val="ListBullet"/>
        <w:keepLines w:val="1"/>
        <w:widowControl w:val="1"/>
      </w:pPr>
      <w:r>
        <w:t>[ ] Sí, y la clasificación se usa activamente para definir controles, políticas y monitorización.</w:t>
      </w:r>
    </w:p>
    <w:p>
      <w:r>
        <w:rPr>
          <w:b/>
        </w:rPr>
        <w:t>P-ID-04. ¿Qué porcentaje de repositorios críticos de datos cuentan con propietario formalmente designado?</w:t>
      </w:r>
    </w:p>
    <w:p>
      <w:pPr>
        <w:pStyle w:val="ListBullet"/>
        <w:keepLines w:val="1"/>
        <w:keepNext w:val="1"/>
        <w:widowControl w:val="1"/>
      </w:pPr>
      <w:r>
        <w:t xml:space="preserve">[ ] &lt; 25 %.  </w:t>
      </w:r>
    </w:p>
    <w:p>
      <w:pPr>
        <w:pStyle w:val="ListBullet"/>
        <w:keepLines w:val="1"/>
        <w:keepNext w:val="1"/>
        <w:widowControl w:val="1"/>
      </w:pPr>
      <w:r>
        <w:t xml:space="preserve">[ ] 25–50 %.  </w:t>
      </w:r>
    </w:p>
    <w:p>
      <w:pPr>
        <w:pStyle w:val="ListBullet"/>
        <w:keepLines w:val="1"/>
        <w:keepNext w:val="1"/>
        <w:widowControl w:val="1"/>
      </w:pPr>
      <w:r>
        <w:t xml:space="preserve">[ ] 51–75 %.  </w:t>
      </w:r>
    </w:p>
    <w:p>
      <w:pPr>
        <w:pStyle w:val="ListBullet"/>
        <w:keepLines w:val="1"/>
        <w:widowControl w:val="1"/>
      </w:pPr>
      <w:r>
        <w:t>[ ] &gt; 75 %.</w:t>
      </w:r>
    </w:p>
    <w:p>
      <w:pPr>
        <w:pStyle w:val="Heading3"/>
        <w:keepNext/>
        <w:keepLines/>
      </w:pPr>
      <w:r>
        <w:t>2.3. Gestión de riesgo</w:t>
      </w:r>
    </w:p>
    <w:p>
      <w:r>
        <w:rPr>
          <w:b/>
        </w:rPr>
        <w:t>P-ID-05. ¿Qué enfoque predomina en la evaluación de riesgos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Evaluaciones ad hoc, sin método consistente (épica y buen juicio).  </w:t>
      </w:r>
    </w:p>
    <w:p>
      <w:pPr>
        <w:pStyle w:val="ListBullet"/>
        <w:keepLines w:val="1"/>
        <w:keepNext w:val="1"/>
        <w:widowControl w:val="1"/>
      </w:pPr>
      <w:r>
        <w:t xml:space="preserve">[ ] Método cualitativo informal (alto/medio/bajo), sin integración con ERM.  </w:t>
      </w:r>
    </w:p>
    <w:p>
      <w:pPr>
        <w:pStyle w:val="ListBullet"/>
        <w:keepLines w:val="1"/>
        <w:keepNext w:val="1"/>
        <w:widowControl w:val="1"/>
      </w:pPr>
      <w:r>
        <w:t xml:space="preserve">[ ] Método cualitativo estructurado integrado con ERM corporativo.  </w:t>
      </w:r>
    </w:p>
    <w:p>
      <w:pPr>
        <w:pStyle w:val="ListBullet"/>
        <w:keepLines w:val="1"/>
        <w:widowControl w:val="1"/>
      </w:pPr>
      <w:r>
        <w:t xml:space="preserve">[ ] Método cuantitativo o semi‑cuantitativo, con agregación de pérdidas esperadas y escenarios.  </w:t>
      </w:r>
    </w:p>
    <w:p>
      <w:r>
        <w:rPr>
          <w:b/>
        </w:rPr>
        <w:t>P-ID-06. ¿Cuál es la periodicidad habitual de las evaluaciones de riesgo de ciberseguridad sobre sistemas y procesos críticos?</w:t>
      </w:r>
    </w:p>
    <w:p>
      <w:pPr>
        <w:pStyle w:val="ListBullet"/>
        <w:keepLines w:val="1"/>
        <w:keepNext w:val="1"/>
        <w:widowControl w:val="1"/>
      </w:pPr>
      <w:r>
        <w:t xml:space="preserve">[ ] Solo cuando se incorpora un nuevo sistema o tras un incidente grave.  </w:t>
      </w:r>
    </w:p>
    <w:p>
      <w:pPr>
        <w:pStyle w:val="ListBullet"/>
        <w:keepLines w:val="1"/>
        <w:keepNext w:val="1"/>
        <w:widowControl w:val="1"/>
      </w:pPr>
      <w:r>
        <w:t xml:space="preserve">[ ] Menos de una vez cada 3 años.  </w:t>
      </w:r>
    </w:p>
    <w:p>
      <w:pPr>
        <w:pStyle w:val="ListBullet"/>
        <w:keepLines w:val="1"/>
        <w:keepNext w:val="1"/>
        <w:widowControl w:val="1"/>
      </w:pPr>
      <w:r>
        <w:t xml:space="preserve">[ ] Cada 1–2 años.  </w:t>
      </w:r>
    </w:p>
    <w:p>
      <w:pPr>
        <w:pStyle w:val="ListBullet"/>
        <w:keepLines w:val="1"/>
        <w:widowControl w:val="1"/>
      </w:pPr>
      <w:r>
        <w:t>[ ] Al menos anual, con revisiones adicionales cuando cambian amenazas o tecnología.</w:t>
      </w:r>
    </w:p>
    <w:p>
      <w:r>
        <w:rPr>
          <w:b/>
        </w:rPr>
        <w:t>P-ID-07. ¿En qué medida el registro de riesgos corporativo incluye riesgos de ciberseguridad claramente identificados y vinculados a activos y procesos?</w:t>
      </w:r>
    </w:p>
    <w:p>
      <w:pPr>
        <w:pStyle w:val="ListBullet"/>
        <w:keepLines w:val="1"/>
        <w:keepNext w:val="1"/>
        <w:widowControl w:val="1"/>
      </w:pPr>
      <w:r>
        <w:t xml:space="preserve">[ ] No existen entradas específicas de ciberriesgo.  </w:t>
      </w:r>
    </w:p>
    <w:p>
      <w:pPr>
        <w:pStyle w:val="ListBullet"/>
        <w:keepLines w:val="1"/>
        <w:keepNext w:val="1"/>
        <w:widowControl w:val="1"/>
      </w:pPr>
      <w:r>
        <w:t xml:space="preserve">[ ] Existen algunas entradas genéricas.  </w:t>
      </w:r>
    </w:p>
    <w:p>
      <w:pPr>
        <w:pStyle w:val="ListBullet"/>
        <w:keepLines w:val="1"/>
        <w:keepNext w:val="1"/>
        <w:widowControl w:val="1"/>
      </w:pPr>
      <w:r>
        <w:t xml:space="preserve">[ ] La mayoría de los riesgos ciber relevantes están descritos con cierto nivel de detalle.  </w:t>
      </w:r>
    </w:p>
    <w:p>
      <w:pPr>
        <w:pStyle w:val="ListBullet"/>
        <w:keepLines w:val="1"/>
        <w:widowControl w:val="1"/>
      </w:pPr>
      <w:r>
        <w:t>[ ] Existe un mapa detallado de riesgos ciber, con prioridades, dueños y planes asociados.</w:t>
      </w:r>
    </w:p>
    <w:p>
      <w:pPr>
        <w:pStyle w:val="Heading2"/>
        <w:keepNext/>
        <w:keepLines/>
      </w:pPr>
      <w:r>
        <w:rPr>
          <w:color w:val="0066CC"/>
        </w:rPr>
        <w:t>3. PROTECT (PR) – Controles preventivos, acceso, formación y tecnología</w:t>
      </w:r>
    </w:p>
    <w:p>
      <w:pPr>
        <w:pStyle w:val="Heading3"/>
        <w:keepNext/>
        <w:keepLines/>
      </w:pPr>
      <w:r>
        <w:t>3.1. Gestión de identidades y accesos</w:t>
      </w:r>
    </w:p>
    <w:p>
      <w:r>
        <w:rPr>
          <w:b/>
        </w:rPr>
        <w:t>P-PR-01. Cobertura de autenticación multifactor (MFA) en cuentas de alto riesgo</w:t>
      </w:r>
    </w:p>
    <w:p>
      <w:r>
        <w:t>Para cuentas administrativas, acceso remoto, aplicaciones críticas:</w:t>
      </w:r>
    </w:p>
    <w:p>
      <w:pPr>
        <w:pStyle w:val="ListBullet"/>
        <w:keepLines w:val="1"/>
        <w:keepNext w:val="1"/>
        <w:widowControl w:val="1"/>
      </w:pPr>
      <w:r>
        <w:t xml:space="preserve">[ ] &lt; 25 % (la contraseña todavía reina).  </w:t>
      </w:r>
    </w:p>
    <w:p>
      <w:pPr>
        <w:pStyle w:val="ListBullet"/>
        <w:keepLines w:val="1"/>
        <w:keepNext w:val="1"/>
        <w:widowControl w:val="1"/>
      </w:pPr>
      <w:r>
        <w:t xml:space="preserve">[ ] 25–75 % (en transición, con batallas culturales en curso).  </w:t>
      </w:r>
    </w:p>
    <w:p>
      <w:pPr>
        <w:pStyle w:val="ListBullet"/>
        <w:keepLines w:val="1"/>
        <w:keepNext w:val="1"/>
        <w:widowControl w:val="1"/>
      </w:pPr>
      <w:r>
        <w:t xml:space="preserve">[ ] &gt; 75 % (solo quedan algunos sistemas históricos resistiéndose).  </w:t>
      </w:r>
    </w:p>
    <w:p>
      <w:pPr>
        <w:pStyle w:val="ListBullet"/>
        <w:keepLines w:val="1"/>
        <w:widowControl w:val="1"/>
      </w:pPr>
      <w:r>
        <w:t>[ ] ~100 % (casi utopía zero trust).</w:t>
      </w:r>
    </w:p>
    <w:p>
      <w:r>
        <w:rPr>
          <w:b/>
        </w:rPr>
        <w:t>P-PR-02. Gestión del ciclo de vida de identidades</w:t>
      </w:r>
    </w:p>
    <w:p>
      <w:pPr>
        <w:pStyle w:val="ListBullet"/>
        <w:keepLines w:val="1"/>
        <w:keepNext w:val="1"/>
        <w:widowControl w:val="1"/>
      </w:pPr>
      <w:r>
        <w:t xml:space="preserve">[ ] Alta, modificación y baja de usuarios gestionada principalmente de forma manual y sin seguimiento sistemático.  </w:t>
      </w:r>
    </w:p>
    <w:p>
      <w:pPr>
        <w:pStyle w:val="ListBullet"/>
        <w:keepLines w:val="1"/>
        <w:keepNext w:val="1"/>
        <w:widowControl w:val="1"/>
      </w:pPr>
      <w:r>
        <w:t xml:space="preserve">[ ] Procesos definidos, pero con ejecución irregular y controles limitados.  </w:t>
      </w:r>
    </w:p>
    <w:p>
      <w:pPr>
        <w:pStyle w:val="ListBullet"/>
        <w:keepLines w:val="1"/>
        <w:keepNext w:val="1"/>
        <w:widowControl w:val="1"/>
      </w:pPr>
      <w:r>
        <w:t xml:space="preserve">[ ] Procesos definidos, con cierto grado de automatización y revisiones periódicas.  </w:t>
      </w:r>
    </w:p>
    <w:p>
      <w:pPr>
        <w:pStyle w:val="ListBullet"/>
        <w:keepLines w:val="1"/>
        <w:widowControl w:val="1"/>
      </w:pPr>
      <w:r>
        <w:t>[ ] Procesos altamente automatizados, integrados con RRHH y revisados con auditorías regulares.</w:t>
      </w:r>
    </w:p>
    <w:p>
      <w:pPr>
        <w:pStyle w:val="Heading3"/>
        <w:keepNext/>
        <w:keepLines/>
      </w:pPr>
      <w:r>
        <w:t>3.2. Concienciación y cultura</w:t>
      </w:r>
    </w:p>
    <w:p>
      <w:r>
        <w:rPr>
          <w:b/>
        </w:rPr>
        <w:t>P-PR-03. Programa de concienciación en ciberseguridad</w:t>
      </w:r>
    </w:p>
    <w:p>
      <w:pPr>
        <w:pStyle w:val="ListBullet"/>
        <w:keepLines w:val="1"/>
        <w:keepNext w:val="1"/>
        <w:widowControl w:val="1"/>
      </w:pPr>
      <w:r>
        <w:t xml:space="preserve">[ ] No existe un programa formal; se confía en el instinto de supervivencia.  </w:t>
      </w:r>
    </w:p>
    <w:p>
      <w:pPr>
        <w:pStyle w:val="ListBullet"/>
        <w:keepLines w:val="1"/>
        <w:keepNext w:val="1"/>
        <w:widowControl w:val="1"/>
      </w:pPr>
      <w:r>
        <w:t xml:space="preserve">[ ] Se realizan acciones puntuales (charlas, correos, carteles).  </w:t>
      </w:r>
    </w:p>
    <w:p>
      <w:pPr>
        <w:pStyle w:val="ListBullet"/>
        <w:keepLines w:val="1"/>
        <w:keepNext w:val="1"/>
        <w:widowControl w:val="1"/>
      </w:pPr>
      <w:r>
        <w:t xml:space="preserve">[ ] Programa estructurado anual, con contenidos diferenciados por perfiles.  </w:t>
      </w:r>
    </w:p>
    <w:p>
      <w:pPr>
        <w:pStyle w:val="ListBullet"/>
        <w:keepLines w:val="1"/>
        <w:widowControl w:val="1"/>
      </w:pPr>
      <w:r>
        <w:t>[ ] Programa continuo, con campañas periódicas, contenidos adaptados y métricas de efectividad.</w:t>
      </w:r>
    </w:p>
    <w:p>
      <w:r>
        <w:rPr>
          <w:b/>
        </w:rPr>
        <w:t>P-PR-04. Simulaciones de phishing u otros ejercicios de ingeniería social</w:t>
      </w:r>
    </w:p>
    <w:p>
      <w:pPr>
        <w:pStyle w:val="ListBullet"/>
        <w:keepLines w:val="1"/>
        <w:keepNext w:val="1"/>
        <w:widowControl w:val="1"/>
      </w:pPr>
      <w:r>
        <w:t xml:space="preserve">[ ] No se realizan; preferimos no tentar a la suerte.  </w:t>
      </w:r>
    </w:p>
    <w:p>
      <w:pPr>
        <w:pStyle w:val="ListBullet"/>
        <w:keepLines w:val="1"/>
        <w:keepNext w:val="1"/>
        <w:widowControl w:val="1"/>
      </w:pPr>
      <w:r>
        <w:t xml:space="preserve">[ ] Se realizan ocasionalmente, sin explotación sistemática de resultados.  </w:t>
      </w:r>
    </w:p>
    <w:p>
      <w:pPr>
        <w:pStyle w:val="ListBullet"/>
        <w:keepLines w:val="1"/>
        <w:keepNext w:val="1"/>
        <w:widowControl w:val="1"/>
      </w:pPr>
      <w:r>
        <w:t xml:space="preserve">[ ] Se realizan al menos anualmente, con análisis de tasas de clic y refuerzo formativo.  </w:t>
      </w:r>
    </w:p>
    <w:p>
      <w:pPr>
        <w:pStyle w:val="ListBullet"/>
        <w:keepLines w:val="1"/>
        <w:widowControl w:val="1"/>
      </w:pPr>
      <w:r>
        <w:t>[ ] Se realizan múltiples veces al año, segmentados por colectivos, con reducción observada de errores.</w:t>
      </w:r>
    </w:p>
    <w:p>
      <w:pPr>
        <w:pStyle w:val="Heading3"/>
        <w:keepNext/>
        <w:keepLines/>
      </w:pPr>
      <w:r>
        <w:t>3.3. Protección de datos y plataformas</w:t>
      </w:r>
    </w:p>
    <w:p>
      <w:r>
        <w:rPr>
          <w:b/>
        </w:rPr>
        <w:t>P-PR-05. Protección de datos sensibles (cifrado, DLP, controles de acceso)</w:t>
      </w:r>
    </w:p>
    <w:p>
      <w:pPr>
        <w:pStyle w:val="ListBullet"/>
        <w:keepLines w:val="1"/>
        <w:keepNext w:val="1"/>
        <w:widowControl w:val="1"/>
      </w:pPr>
      <w:r>
        <w:t xml:space="preserve">[ ] No existe una política clara ni controles específicos.  </w:t>
      </w:r>
    </w:p>
    <w:p>
      <w:pPr>
        <w:pStyle w:val="ListBullet"/>
        <w:keepLines w:val="1"/>
        <w:keepNext w:val="1"/>
        <w:widowControl w:val="1"/>
      </w:pPr>
      <w:r>
        <w:t xml:space="preserve">[ ] Hay políticas y algunos controles básicos (cifrado en tránsito, accesos controlados).  </w:t>
      </w:r>
    </w:p>
    <w:p>
      <w:pPr>
        <w:pStyle w:val="ListBullet"/>
        <w:keepLines w:val="1"/>
        <w:keepNext w:val="1"/>
        <w:widowControl w:val="1"/>
      </w:pPr>
      <w:r>
        <w:t xml:space="preserve">[ ] Controles establecidos (cifrado en reposo, segmentación, DLP limitada) y aplicados a sistemas clave.  </w:t>
      </w:r>
    </w:p>
    <w:p>
      <w:pPr>
        <w:pStyle w:val="ListBullet"/>
        <w:keepLines w:val="1"/>
        <w:widowControl w:val="1"/>
      </w:pPr>
      <w:r>
        <w:t>[ ] Enfoque integral: cifrado generalizado, DLP maduro, controles adaptativos y monitorización.</w:t>
      </w:r>
    </w:p>
    <w:p>
      <w:r>
        <w:rPr>
          <w:b/>
        </w:rPr>
        <w:t>P-PR-06. Gestión de parches y actualizaciones</w:t>
      </w:r>
    </w:p>
    <w:p>
      <w:pPr>
        <w:pStyle w:val="ListBullet"/>
        <w:keepLines w:val="1"/>
        <w:keepNext w:val="1"/>
        <w:widowControl w:val="1"/>
      </w:pPr>
      <w:r>
        <w:t xml:space="preserve">[ ] No hay política formal; se parchea “cuando se puede”.  </w:t>
      </w:r>
    </w:p>
    <w:p>
      <w:pPr>
        <w:pStyle w:val="ListBullet"/>
        <w:keepLines w:val="1"/>
        <w:keepNext w:val="1"/>
        <w:widowControl w:val="1"/>
      </w:pPr>
      <w:r>
        <w:t xml:space="preserve">[ ] Política definida, pero con cumplimiento irregular.  </w:t>
      </w:r>
    </w:p>
    <w:p>
      <w:pPr>
        <w:pStyle w:val="ListBullet"/>
        <w:keepLines w:val="1"/>
        <w:keepNext w:val="1"/>
        <w:widowControl w:val="1"/>
      </w:pPr>
      <w:r>
        <w:t xml:space="preserve">[ ] Política aplicada con prioridad a activos críticos, tiempos definidos por riesgo.  </w:t>
      </w:r>
    </w:p>
    <w:p>
      <w:pPr>
        <w:pStyle w:val="ListBullet"/>
        <w:keepLines w:val="1"/>
        <w:widowControl w:val="1"/>
      </w:pPr>
      <w:r>
        <w:t>[ ] Gestión sistemática basada en riesgo, con métricas de tiempo medio de parcheo y objetivos claros.</w:t>
      </w:r>
    </w:p>
    <w:p>
      <w:pPr>
        <w:pStyle w:val="Heading2"/>
        <w:keepNext/>
        <w:keepLines/>
      </w:pPr>
      <w:r>
        <w:rPr>
          <w:color w:val="0066CC"/>
        </w:rPr>
        <w:t>4. DETECT (DE) – Monitorización, detección y análisis</w:t>
      </w:r>
    </w:p>
    <w:p>
      <w:pPr>
        <w:pStyle w:val="Heading3"/>
        <w:keepNext/>
        <w:keepLines/>
      </w:pPr>
      <w:r>
        <w:t>4.1. Cobertura de monitorización</w:t>
      </w:r>
    </w:p>
    <w:p>
      <w:r>
        <w:rPr>
          <w:b/>
        </w:rPr>
        <w:t>P-DE-01. Cobertura de registro y monitorización de activos críticos</w:t>
      </w:r>
    </w:p>
    <w:p>
      <w:pPr>
        <w:pStyle w:val="ListBullet"/>
        <w:keepLines w:val="1"/>
        <w:keepNext w:val="1"/>
        <w:widowControl w:val="1"/>
      </w:pPr>
      <w:r>
        <w:t xml:space="preserve">[ ] Muy limitada; solo algunos sistemas generan logs útiles.  </w:t>
      </w:r>
    </w:p>
    <w:p>
      <w:pPr>
        <w:pStyle w:val="ListBullet"/>
        <w:keepLines w:val="1"/>
        <w:keepNext w:val="1"/>
        <w:widowControl w:val="1"/>
      </w:pPr>
      <w:r>
        <w:t xml:space="preserve">[ ] Cobertura parcial de sistemas críticos en una o varias herramientas.  </w:t>
      </w:r>
    </w:p>
    <w:p>
      <w:pPr>
        <w:pStyle w:val="ListBullet"/>
        <w:keepLines w:val="1"/>
        <w:keepNext w:val="1"/>
        <w:widowControl w:val="1"/>
      </w:pPr>
      <w:r>
        <w:t xml:space="preserve">[ ] Amplia cobertura de sistemas críticos, con integración en SIEM u otras plataformas.  </w:t>
      </w:r>
    </w:p>
    <w:p>
      <w:pPr>
        <w:pStyle w:val="ListBullet"/>
        <w:keepLines w:val="1"/>
        <w:widowControl w:val="1"/>
      </w:pPr>
      <w:r>
        <w:t>[ ] Cobertura muy alta, incluyendo tráfico de red, endpoints, nube y OT, con correlación centralizada.</w:t>
      </w:r>
    </w:p>
    <w:p>
      <w:r>
        <w:rPr>
          <w:b/>
        </w:rPr>
        <w:t>P-DE-02. Integración de inteligencia de amenazas (Threat Intelligence)</w:t>
      </w:r>
    </w:p>
    <w:p>
      <w:pPr>
        <w:pStyle w:val="ListBullet"/>
        <w:keepLines w:val="1"/>
        <w:keepNext w:val="1"/>
        <w:widowControl w:val="1"/>
      </w:pPr>
      <w:r>
        <w:t xml:space="preserve">[ ] No se utiliza información externa de amenazas.  </w:t>
      </w:r>
    </w:p>
    <w:p>
      <w:pPr>
        <w:pStyle w:val="ListBullet"/>
        <w:keepLines w:val="1"/>
        <w:keepNext w:val="1"/>
        <w:widowControl w:val="1"/>
      </w:pPr>
      <w:r>
        <w:t xml:space="preserve">[ ] Se consultan fuentes externas de forma manual y puntual.  </w:t>
      </w:r>
    </w:p>
    <w:p>
      <w:pPr>
        <w:pStyle w:val="ListBullet"/>
        <w:keepLines w:val="1"/>
        <w:keepNext w:val="1"/>
        <w:widowControl w:val="1"/>
      </w:pPr>
      <w:r>
        <w:t xml:space="preserve">[ ] Se usan fuentes externas básicas integradas parcialmente en herramientas.  </w:t>
      </w:r>
    </w:p>
    <w:p>
      <w:pPr>
        <w:pStyle w:val="ListBullet"/>
        <w:keepLines w:val="1"/>
        <w:widowControl w:val="1"/>
      </w:pPr>
      <w:r>
        <w:t>[ ] Fuentes múltiples (públicas, sectoriales, comerciales) integradas en procesos y herramientas de detección.</w:t>
      </w:r>
    </w:p>
    <w:p>
      <w:pPr>
        <w:pStyle w:val="Heading3"/>
        <w:keepNext/>
        <w:keepLines/>
      </w:pPr>
      <w:r>
        <w:t>4.2. Métricas de detección</w:t>
      </w:r>
    </w:p>
    <w:p>
      <w:r>
        <w:rPr>
          <w:b/>
        </w:rPr>
        <w:t>P-DE-03. ¿Se mide el tiempo medio de detección (MTTD) de incidentes?</w:t>
      </w:r>
    </w:p>
    <w:p>
      <w:pPr>
        <w:pStyle w:val="ListBullet"/>
        <w:keepLines w:val="1"/>
        <w:keepNext w:val="1"/>
        <w:widowControl w:val="1"/>
      </w:pPr>
      <w:r>
        <w:t xml:space="preserve">[ ] No, el reloj se activa más bien tarde.  </w:t>
      </w:r>
    </w:p>
    <w:p>
      <w:pPr>
        <w:pStyle w:val="ListBullet"/>
        <w:keepLines w:val="1"/>
        <w:keepNext w:val="1"/>
        <w:widowControl w:val="1"/>
      </w:pPr>
      <w:r>
        <w:t xml:space="preserve">[ ] Se mide ocasionalmente, tras incidentes relevantes.  </w:t>
      </w:r>
    </w:p>
    <w:p>
      <w:pPr>
        <w:pStyle w:val="ListBullet"/>
        <w:keepLines w:val="1"/>
        <w:keepNext w:val="1"/>
        <w:widowControl w:val="1"/>
      </w:pPr>
      <w:r>
        <w:t xml:space="preserve">[ ] Se mide de forma sistemática pero con uso limitado en la gestión.  </w:t>
      </w:r>
    </w:p>
    <w:p>
      <w:pPr>
        <w:pStyle w:val="ListBullet"/>
        <w:keepLines w:val="1"/>
        <w:widowControl w:val="1"/>
      </w:pPr>
      <w:r>
        <w:t>[ ] Se mide, se reporta a la dirección y se usa para objetivos de mejora continuos.</w:t>
      </w:r>
    </w:p>
    <w:p>
      <w:pPr>
        <w:pStyle w:val="Heading2"/>
        <w:keepNext/>
        <w:keepLines/>
      </w:pPr>
      <w:r>
        <w:rPr>
          <w:color w:val="0066CC"/>
        </w:rPr>
        <w:t>5. RESPOND (RS) – Respuesta a incidentes y comunicación</w:t>
      </w:r>
    </w:p>
    <w:p>
      <w:pPr>
        <w:pStyle w:val="Heading3"/>
        <w:keepNext/>
        <w:keepLines/>
      </w:pPr>
      <w:r>
        <w:t>5.1. Planes de respuesta a incidentes</w:t>
      </w:r>
    </w:p>
    <w:p>
      <w:r>
        <w:rPr>
          <w:b/>
        </w:rPr>
        <w:t>P-RS-01. Existencia de plan de respuesta a incidentes</w:t>
      </w:r>
    </w:p>
    <w:p>
      <w:pPr>
        <w:pStyle w:val="ListBullet"/>
        <w:keepLines w:val="1"/>
        <w:keepNext w:val="1"/>
        <w:widowControl w:val="1"/>
      </w:pPr>
      <w:r>
        <w:t xml:space="preserve">[ ] No existe; la respuesta es esencialmente improvisada.  </w:t>
      </w:r>
    </w:p>
    <w:p>
      <w:pPr>
        <w:pStyle w:val="ListBullet"/>
        <w:keepLines w:val="1"/>
        <w:keepNext w:val="1"/>
        <w:widowControl w:val="1"/>
      </w:pPr>
      <w:r>
        <w:t xml:space="preserve">[ ] Existe en borrador o para algunos sistemas críticos.  </w:t>
      </w:r>
    </w:p>
    <w:p>
      <w:pPr>
        <w:pStyle w:val="ListBullet"/>
        <w:keepLines w:val="1"/>
        <w:keepNext w:val="1"/>
        <w:widowControl w:val="1"/>
      </w:pPr>
      <w:r>
        <w:t xml:space="preserve">[ ] Existe plan general con roles definidos, pero la práctica es limitada.  </w:t>
      </w:r>
    </w:p>
    <w:p>
      <w:pPr>
        <w:pStyle w:val="ListBullet"/>
        <w:keepLines w:val="1"/>
        <w:widowControl w:val="1"/>
      </w:pPr>
      <w:r>
        <w:t>[ ] Planes actualizados, probados regularmente y con lecciones aprendidas incorporadas.</w:t>
      </w:r>
    </w:p>
    <w:p>
      <w:r>
        <w:rPr>
          <w:b/>
        </w:rPr>
        <w:t>P-RS-02. ¿Con qué frecuencia se realizan ejercicios o simulacros de respuesta a incidentes?</w:t>
      </w:r>
    </w:p>
    <w:p>
      <w:pPr>
        <w:pStyle w:val="ListBullet"/>
        <w:keepLines w:val="1"/>
        <w:keepNext w:val="1"/>
        <w:widowControl w:val="1"/>
      </w:pPr>
      <w:r>
        <w:t xml:space="preserve">[ ] Nunca; el incidente real será nuestro primer ejercicio.  </w:t>
      </w:r>
    </w:p>
    <w:p>
      <w:pPr>
        <w:pStyle w:val="ListBullet"/>
        <w:keepLines w:val="1"/>
        <w:keepNext w:val="1"/>
        <w:widowControl w:val="1"/>
      </w:pPr>
      <w:r>
        <w:t xml:space="preserve">[ ] Menos de una vez cada 2 años.  </w:t>
      </w:r>
    </w:p>
    <w:p>
      <w:pPr>
        <w:pStyle w:val="ListBullet"/>
        <w:keepLines w:val="1"/>
        <w:keepNext w:val="1"/>
        <w:widowControl w:val="1"/>
      </w:pPr>
      <w:r>
        <w:t xml:space="preserve">[ ] Al menos cada 2 años, con participación de áreas clave.  </w:t>
      </w:r>
    </w:p>
    <w:p>
      <w:pPr>
        <w:pStyle w:val="ListBullet"/>
        <w:keepLines w:val="1"/>
        <w:widowControl w:val="1"/>
      </w:pPr>
      <w:r>
        <w:t>[ ] Anualmente o más, con participación de dirección y terceros relevantes.</w:t>
      </w:r>
    </w:p>
    <w:p>
      <w:pPr>
        <w:pStyle w:val="Heading3"/>
        <w:keepNext/>
        <w:keepLines/>
      </w:pPr>
      <w:r>
        <w:t>5.2. Métricas de respuesta</w:t>
      </w:r>
    </w:p>
    <w:p>
      <w:r>
        <w:rPr>
          <w:b/>
        </w:rPr>
        <w:t>P-RS-03. ¿Se mide el tiempo medio hasta la contención de incidentes graves?</w:t>
      </w:r>
    </w:p>
    <w:p>
      <w:pPr>
        <w:pStyle w:val="ListBullet"/>
        <w:keepLines w:val="1"/>
        <w:keepNext w:val="1"/>
        <w:widowControl w:val="1"/>
      </w:pPr>
      <w:r>
        <w:t xml:space="preserve">[ ] No, la memoria colectiva es el único “métrico” disponible.  </w:t>
      </w:r>
    </w:p>
    <w:p>
      <w:pPr>
        <w:pStyle w:val="ListBullet"/>
        <w:keepLines w:val="1"/>
        <w:keepNext w:val="1"/>
        <w:widowControl w:val="1"/>
      </w:pPr>
      <w:r>
        <w:t xml:space="preserve">[ ] Se estima para algunos incidentes, pero sin registro estructurado.  </w:t>
      </w:r>
    </w:p>
    <w:p>
      <w:pPr>
        <w:pStyle w:val="ListBullet"/>
        <w:keepLines w:val="1"/>
        <w:keepNext w:val="1"/>
        <w:widowControl w:val="1"/>
      </w:pPr>
      <w:r>
        <w:t xml:space="preserve">[ ] Se registra y se analiza para identificar mejoras.  </w:t>
      </w:r>
    </w:p>
    <w:p>
      <w:pPr>
        <w:pStyle w:val="ListBullet"/>
        <w:keepLines w:val="1"/>
        <w:widowControl w:val="1"/>
      </w:pPr>
      <w:r>
        <w:t>[ ] Se registra, se consolida en KPIs y se reporta a dirección como objetivo de mejora.</w:t>
      </w:r>
    </w:p>
    <w:p>
      <w:r>
        <w:rPr>
          <w:b/>
        </w:rPr>
        <w:t>P-RS-04. ¿Qué grado de formalización tienen los procesos de comunicación de incidentes a autoridades y terceros?</w:t>
      </w:r>
    </w:p>
    <w:p>
      <w:pPr>
        <w:pStyle w:val="ListBullet"/>
        <w:keepLines w:val="1"/>
        <w:keepNext w:val="1"/>
        <w:widowControl w:val="1"/>
      </w:pPr>
      <w:r>
        <w:t xml:space="preserve">[ ] No hay proceso definido; se reacciona caso por caso.  </w:t>
      </w:r>
    </w:p>
    <w:p>
      <w:pPr>
        <w:pStyle w:val="ListBullet"/>
        <w:keepLines w:val="1"/>
        <w:keepNext w:val="1"/>
        <w:widowControl w:val="1"/>
      </w:pPr>
      <w:r>
        <w:t xml:space="preserve">[ ] Existen pautas generales, con cierta guía de plazos (GDPR, NIS, etc.).  </w:t>
      </w:r>
    </w:p>
    <w:p>
      <w:pPr>
        <w:pStyle w:val="ListBullet"/>
        <w:keepLines w:val="1"/>
        <w:keepNext w:val="1"/>
        <w:widowControl w:val="1"/>
      </w:pPr>
      <w:r>
        <w:t xml:space="preserve">[ ] Procesos documentados y conocidos, con responsables claros y plantillas.  </w:t>
      </w:r>
    </w:p>
    <w:p>
      <w:pPr>
        <w:pStyle w:val="ListBullet"/>
        <w:keepLines w:val="1"/>
        <w:widowControl w:val="1"/>
      </w:pPr>
      <w:r>
        <w:t>[ ] Procesos probados, integrados con requisitos regulatorios y con métricas de cumplimiento de plazos.</w:t>
      </w:r>
    </w:p>
    <w:p>
      <w:pPr>
        <w:pStyle w:val="Heading2"/>
        <w:keepNext/>
        <w:keepLines/>
      </w:pPr>
      <w:r>
        <w:rPr>
          <w:color w:val="0066CC"/>
        </w:rPr>
        <w:t>6. RECOVER (RC) – Continuidad, recuperación y resiliencia</w:t>
      </w:r>
    </w:p>
    <w:p>
      <w:pPr>
        <w:pStyle w:val="Heading3"/>
        <w:keepNext/>
        <w:keepLines/>
      </w:pPr>
      <w:r>
        <w:t>6.1. Objetivos de recuperación</w:t>
      </w:r>
    </w:p>
    <w:p>
      <w:r>
        <w:rPr>
          <w:b/>
        </w:rPr>
        <w:t>P-RC-01. ¿Están definidos objetivos de RTO/RPO para procesos y sistemas críticos?</w:t>
      </w:r>
    </w:p>
    <w:p>
      <w:pPr>
        <w:pStyle w:val="ListBullet"/>
        <w:keepLines w:val="1"/>
        <w:keepNext w:val="1"/>
        <w:widowControl w:val="1"/>
      </w:pPr>
      <w:r>
        <w:t xml:space="preserve">[ ] No; la esperanza es la estrategia predominante.  </w:t>
      </w:r>
    </w:p>
    <w:p>
      <w:pPr>
        <w:pStyle w:val="ListBullet"/>
        <w:keepLines w:val="1"/>
        <w:keepNext w:val="1"/>
        <w:widowControl w:val="1"/>
      </w:pPr>
      <w:r>
        <w:t xml:space="preserve">[ ] Definidos para algunos sistemas o procesos.  </w:t>
      </w:r>
    </w:p>
    <w:p>
      <w:pPr>
        <w:pStyle w:val="ListBullet"/>
        <w:keepLines w:val="1"/>
        <w:keepNext w:val="1"/>
        <w:widowControl w:val="1"/>
      </w:pPr>
      <w:r>
        <w:t xml:space="preserve">[ ] Definidos para la mayoría de procesos críticos.  </w:t>
      </w:r>
    </w:p>
    <w:p>
      <w:pPr>
        <w:pStyle w:val="ListBullet"/>
        <w:keepLines w:val="1"/>
        <w:widowControl w:val="1"/>
      </w:pPr>
      <w:r>
        <w:t>[ ] Definidos, priorizados y alineados con las expectativas de negocio y reguladores.</w:t>
      </w:r>
    </w:p>
    <w:p>
      <w:r>
        <w:rPr>
          <w:b/>
        </w:rPr>
        <w:t>P-RC-02. ¿Con qué frecuencia se prueban los planes de continuidad y recuperación?</w:t>
      </w:r>
    </w:p>
    <w:p>
      <w:pPr>
        <w:pStyle w:val="ListBullet"/>
        <w:keepLines w:val="1"/>
        <w:keepNext w:val="1"/>
        <w:widowControl w:val="1"/>
      </w:pPr>
      <w:r>
        <w:t xml:space="preserve">[ ] No se prueban.  </w:t>
      </w:r>
    </w:p>
    <w:p>
      <w:pPr>
        <w:pStyle w:val="ListBullet"/>
        <w:keepLines w:val="1"/>
        <w:keepNext w:val="1"/>
        <w:widowControl w:val="1"/>
      </w:pPr>
      <w:r>
        <w:t xml:space="preserve">[ ] Esporádicamente, y solo a nivel de backup restaurado en laboratorio.  </w:t>
      </w:r>
    </w:p>
    <w:p>
      <w:pPr>
        <w:pStyle w:val="ListBullet"/>
        <w:keepLines w:val="1"/>
        <w:keepNext w:val="1"/>
        <w:widowControl w:val="1"/>
      </w:pPr>
      <w:r>
        <w:t xml:space="preserve">[ ] Al menos una vez al año para sistemas críticos, con escenarios realistas.  </w:t>
      </w:r>
    </w:p>
    <w:p>
      <w:pPr>
        <w:pStyle w:val="ListBullet"/>
        <w:keepLines w:val="1"/>
        <w:widowControl w:val="1"/>
      </w:pPr>
      <w:r>
        <w:t>[ ] Con frecuencia, incluyendo pruebas integrales con participación de proveedores y terceros.</w:t>
      </w:r>
    </w:p>
    <w:p>
      <w:pPr>
        <w:pStyle w:val="Heading3"/>
        <w:keepNext/>
        <w:keepLines/>
      </w:pPr>
      <w:r>
        <w:t>6.2. Métricas de resiliencia</w:t>
      </w:r>
    </w:p>
    <w:p>
      <w:r>
        <w:rPr>
          <w:b/>
        </w:rPr>
        <w:t>P-RC-03. En el último ejercicio de recuperación, ¿qué porcentaje de servicios alcanzó el RTO definido?</w:t>
      </w:r>
    </w:p>
    <w:p>
      <w:pPr>
        <w:pStyle w:val="ListBullet"/>
        <w:keepLines w:val="1"/>
        <w:keepNext w:val="1"/>
        <w:widowControl w:val="1"/>
      </w:pPr>
      <w:r>
        <w:t xml:space="preserve">[ ] No se realizaron ejercicios.  </w:t>
      </w:r>
    </w:p>
    <w:p>
      <w:pPr>
        <w:pStyle w:val="ListBullet"/>
        <w:keepLines w:val="1"/>
        <w:keepNext w:val="1"/>
        <w:widowControl w:val="1"/>
      </w:pPr>
      <w:r>
        <w:t xml:space="preserve">[ ] Menos de la mitad.  </w:t>
      </w:r>
    </w:p>
    <w:p>
      <w:pPr>
        <w:pStyle w:val="ListBullet"/>
        <w:keepLines w:val="1"/>
        <w:keepNext w:val="1"/>
        <w:widowControl w:val="1"/>
      </w:pPr>
      <w:r>
        <w:t xml:space="preserve">[ ] Entre la mitad y tres cuartas partes.  </w:t>
      </w:r>
    </w:p>
    <w:p>
      <w:pPr>
        <w:pStyle w:val="ListBullet"/>
        <w:keepLines w:val="1"/>
        <w:widowControl w:val="1"/>
      </w:pPr>
      <w:r>
        <w:t>[ ] La mayoría o todos, con evidencias documentadas.</w:t>
      </w:r>
    </w:p>
    <w:p>
      <w:pPr>
        <w:pStyle w:val="Heading2"/>
        <w:keepNext/>
        <w:keepLines/>
      </w:pPr>
      <w:r>
        <w:rPr>
          <w:color w:val="0066CC"/>
        </w:rPr>
        <w:t>7. Cadena de suministro y terceros (GV.SC)</w:t>
      </w:r>
    </w:p>
    <w:p>
      <w:r>
        <w:rPr>
          <w:b/>
        </w:rPr>
        <w:t>P-SC-01. Inventario y clasificación de proveedores según criticidad</w:t>
      </w:r>
    </w:p>
    <w:p>
      <w:pPr>
        <w:pStyle w:val="ListBullet"/>
        <w:keepLines w:val="1"/>
        <w:keepNext w:val="1"/>
        <w:widowControl w:val="1"/>
      </w:pPr>
      <w:r>
        <w:t xml:space="preserve">[ ] No hay inventario completo de proveedores TIC/estratégicos.  </w:t>
      </w:r>
    </w:p>
    <w:p>
      <w:pPr>
        <w:pStyle w:val="ListBullet"/>
        <w:keepLines w:val="1"/>
        <w:keepNext w:val="1"/>
        <w:widowControl w:val="1"/>
      </w:pPr>
      <w:r>
        <w:t xml:space="preserve">[ ] Existe inventario básico sin clasificación por criticidad.  </w:t>
      </w:r>
    </w:p>
    <w:p>
      <w:pPr>
        <w:pStyle w:val="ListBullet"/>
        <w:keepLines w:val="1"/>
        <w:keepNext w:val="1"/>
        <w:widowControl w:val="1"/>
      </w:pPr>
      <w:r>
        <w:t xml:space="preserve">[ ] Inventario con clasificación básica (crítico/no crítico).  </w:t>
      </w:r>
    </w:p>
    <w:p>
      <w:pPr>
        <w:pStyle w:val="ListBullet"/>
        <w:keepLines w:val="1"/>
        <w:widowControl w:val="1"/>
      </w:pPr>
      <w:r>
        <w:t>[ ] Inventario con criterios definidos (tipo de datos, acceso, impacto, dependencia), revisado periódicamente.</w:t>
      </w:r>
    </w:p>
    <w:p>
      <w:r>
        <w:rPr>
          <w:b/>
        </w:rPr>
        <w:t>P-SC-02. Requisitos de ciberseguridad en contratos con proveedores críticos</w:t>
      </w:r>
    </w:p>
    <w:p>
      <w:pPr>
        <w:pStyle w:val="ListBullet"/>
        <w:keepLines w:val="1"/>
        <w:keepNext w:val="1"/>
        <w:widowControl w:val="1"/>
      </w:pPr>
      <w:r>
        <w:t xml:space="preserve">[ ] No se incluyen cláusulas específicas de seguridad.  </w:t>
      </w:r>
    </w:p>
    <w:p>
      <w:pPr>
        <w:pStyle w:val="ListBullet"/>
        <w:keepLines w:val="1"/>
        <w:keepNext w:val="1"/>
        <w:widowControl w:val="1"/>
      </w:pPr>
      <w:r>
        <w:t xml:space="preserve">[ ] Se incluyen cláusulas generales, no siempre verificadas.  </w:t>
      </w:r>
    </w:p>
    <w:p>
      <w:pPr>
        <w:pStyle w:val="ListBullet"/>
        <w:keepLines w:val="1"/>
        <w:keepNext w:val="1"/>
        <w:widowControl w:val="1"/>
      </w:pPr>
      <w:r>
        <w:t xml:space="preserve">[ ] Se incluyen cláusulas específicas (notificación de incidentes, estándares mínimos, etc.), y se revisan al menos en la firma.  </w:t>
      </w:r>
    </w:p>
    <w:p>
      <w:pPr>
        <w:pStyle w:val="ListBullet"/>
        <w:keepLines w:val="1"/>
        <w:widowControl w:val="1"/>
      </w:pPr>
      <w:r>
        <w:t>[ ] Cláusulas detalladas, revisadas, con mecanismos de verificación y métricas de cumplimiento.</w:t>
      </w:r>
    </w:p>
    <w:p>
      <w:r>
        <w:rPr>
          <w:b/>
        </w:rPr>
        <w:t>P-SC-03. Evaluación periódica de seguridad de proveedores críticos</w:t>
      </w:r>
    </w:p>
    <w:p>
      <w:pPr>
        <w:pStyle w:val="ListBullet"/>
        <w:keepLines w:val="1"/>
        <w:keepNext w:val="1"/>
        <w:widowControl w:val="1"/>
      </w:pPr>
      <w:r>
        <w:t xml:space="preserve">[ ] No se realizan evaluaciones.  </w:t>
      </w:r>
    </w:p>
    <w:p>
      <w:pPr>
        <w:pStyle w:val="ListBullet"/>
        <w:keepLines w:val="1"/>
        <w:keepNext w:val="1"/>
        <w:widowControl w:val="1"/>
      </w:pPr>
      <w:r>
        <w:t xml:space="preserve">[ ] Evaluaciones puntuales o solo tras incidentes.  </w:t>
      </w:r>
    </w:p>
    <w:p>
      <w:pPr>
        <w:pStyle w:val="ListBullet"/>
        <w:keepLines w:val="1"/>
        <w:keepNext w:val="1"/>
        <w:widowControl w:val="1"/>
      </w:pPr>
      <w:r>
        <w:t xml:space="preserve">[ ] Evaluaciones periódicas (2–3 años) para proveedores críticos.  </w:t>
      </w:r>
    </w:p>
    <w:p>
      <w:pPr>
        <w:pStyle w:val="ListBullet"/>
        <w:keepLines w:val="1"/>
        <w:widowControl w:val="1"/>
      </w:pPr>
      <w:r>
        <w:t>[ ] Evaluaciones al menos anuales, con evidencias, auditorías y planes de mejora.</w:t>
      </w:r>
    </w:p>
    <w:p>
      <w:pPr>
        <w:pStyle w:val="Heading2"/>
        <w:keepNext/>
        <w:keepLines/>
      </w:pPr>
      <w:r>
        <w:rPr>
          <w:color w:val="0066CC"/>
        </w:rPr>
        <w:t>8. Métricas, cuadros de mando y ROI</w:t>
      </w:r>
    </w:p>
    <w:p>
      <w:r>
        <w:rPr>
          <w:b/>
        </w:rPr>
        <w:t>P-ME-01. ¿Dispone la organización de un cuadro de mando de ciberseguridad con indicadores cuantitativos?</w:t>
      </w:r>
    </w:p>
    <w:p>
      <w:pPr>
        <w:pStyle w:val="ListBullet"/>
        <w:keepLines w:val="1"/>
        <w:keepNext w:val="1"/>
        <w:widowControl w:val="1"/>
      </w:pPr>
      <w:r>
        <w:t xml:space="preserve">[ ] No, vivimos en la narrativa y la anécdota.  </w:t>
      </w:r>
    </w:p>
    <w:p>
      <w:pPr>
        <w:pStyle w:val="ListBullet"/>
        <w:keepLines w:val="1"/>
        <w:keepNext w:val="1"/>
        <w:widowControl w:val="1"/>
      </w:pPr>
      <w:r>
        <w:t xml:space="preserve">[ ] Sí, pero disperso y sin estructura homogénea.  </w:t>
      </w:r>
    </w:p>
    <w:p>
      <w:pPr>
        <w:pStyle w:val="ListBullet"/>
        <w:keepLines w:val="1"/>
        <w:keepNext w:val="1"/>
        <w:widowControl w:val="1"/>
      </w:pPr>
      <w:r>
        <w:t xml:space="preserve">[ ] Sí, con indicadores organizados por dominios (gobernanza, riesgo, operación, resiliencia).  </w:t>
      </w:r>
    </w:p>
    <w:p>
      <w:pPr>
        <w:pStyle w:val="ListBullet"/>
        <w:keepLines w:val="1"/>
        <w:widowControl w:val="1"/>
      </w:pPr>
      <w:r>
        <w:t>[ ] Sí, alineado con NIST CSF (u otro marco) y usado regularmente por la alta dirección.</w:t>
      </w:r>
    </w:p>
    <w:p>
      <w:r>
        <w:rPr>
          <w:b/>
        </w:rPr>
        <w:t>P-ME-02. ¿Se calcula algún índice de madurez (p.ej., por función NIST CSF) en la organización?</w:t>
      </w:r>
    </w:p>
    <w:p>
      <w:pPr>
        <w:pStyle w:val="ListBullet"/>
        <w:keepLines w:val="1"/>
        <w:keepNext w:val="1"/>
        <w:widowControl w:val="1"/>
      </w:pPr>
      <w:r>
        <w:t xml:space="preserve">[ ] No se calcula formalmente.  </w:t>
      </w:r>
    </w:p>
    <w:p>
      <w:pPr>
        <w:pStyle w:val="ListBullet"/>
        <w:keepLines w:val="1"/>
        <w:keepNext w:val="1"/>
        <w:widowControl w:val="1"/>
      </w:pPr>
      <w:r>
        <w:t xml:space="preserve">[ ] Se manejan percepciones cualitativas sin escala definida.  </w:t>
      </w:r>
    </w:p>
    <w:p>
      <w:pPr>
        <w:pStyle w:val="ListBullet"/>
        <w:keepLines w:val="1"/>
        <w:keepNext w:val="1"/>
        <w:widowControl w:val="1"/>
      </w:pPr>
      <w:r>
        <w:t xml:space="preserve">[ ] Se utiliza una escala interna (p.ej., 1–4 o 1–5) ligada a niveles de madurez.  </w:t>
      </w:r>
    </w:p>
    <w:p>
      <w:pPr>
        <w:pStyle w:val="ListBullet"/>
        <w:keepLines w:val="1"/>
        <w:widowControl w:val="1"/>
      </w:pPr>
      <w:r>
        <w:t>[ ] Se utiliza una escala definida de madurez (p.ej., Tiers NIST, CMMI, etc.) con evaluaciones periódicas.</w:t>
      </w:r>
    </w:p>
    <w:p>
      <w:r>
        <w:rPr>
          <w:b/>
        </w:rPr>
        <w:t>P-ME-03. ¿Se evalúa el retorno de la inversión (ROI) de las iniciativas de ciberseguridad?</w:t>
      </w:r>
    </w:p>
    <w:p>
      <w:pPr>
        <w:pStyle w:val="ListBullet"/>
        <w:keepLines w:val="1"/>
        <w:keepNext w:val="1"/>
        <w:widowControl w:val="1"/>
      </w:pPr>
      <w:r>
        <w:t xml:space="preserve">[ ] No; se asume que “hay que hacerlo” y ya.  </w:t>
      </w:r>
    </w:p>
    <w:p>
      <w:pPr>
        <w:pStyle w:val="ListBullet"/>
        <w:keepLines w:val="1"/>
        <w:keepNext w:val="1"/>
        <w:widowControl w:val="1"/>
      </w:pPr>
      <w:r>
        <w:t xml:space="preserve">[ ] Se utilizan estimaciones ocasionales para grandes proyectos.  </w:t>
      </w:r>
    </w:p>
    <w:p>
      <w:pPr>
        <w:pStyle w:val="ListBullet"/>
        <w:keepLines w:val="1"/>
        <w:keepNext w:val="1"/>
        <w:widowControl w:val="1"/>
      </w:pPr>
      <w:r>
        <w:t xml:space="preserve">[ ] Se analizan costes, riesgos y beneficios esperados de forma sistemática en los proyectos clave.  </w:t>
      </w:r>
    </w:p>
    <w:p>
      <w:pPr>
        <w:pStyle w:val="ListBullet"/>
        <w:keepLines w:val="1"/>
        <w:widowControl w:val="1"/>
      </w:pPr>
      <w:r>
        <w:t>[ ] Existen modelos formales o semi‑formales de análisis de ROI o de reducción de riesgo monetizada.</w:t>
      </w:r>
    </w:p>
    <w:p>
      <w:pPr>
        <w:pStyle w:val="Heading2"/>
        <w:keepNext/>
        <w:keepLines/>
      </w:pPr>
      <w:r>
        <w:rPr>
          <w:color w:val="0066CC"/>
        </w:rPr>
        <w:t>9. Comentarios abiertos</w:t>
      </w:r>
    </w:p>
    <w:p>
      <w:r>
        <w:rPr>
          <w:b/>
        </w:rPr>
        <w:t>P-AB-01. Desde su experiencia, ¿cuál es la mayor barrera para mejorar sus indicadores y métricas de ciberseguridad?</w:t>
      </w:r>
      <w:r/>
      <w:r>
        <w:br/>
      </w:r>
      <w:r>
        <w:rPr>
          <w:i/>
        </w:rPr>
        <w:t>(respuesta abierta)</w:t>
      </w:r>
    </w:p>
    <w:p>
      <w:r>
        <w:rPr>
          <w:b/>
        </w:rPr>
        <w:t>P-AB-02. ¿Qué indicador o métrica le gustaría poder reportar dentro de 2 años que hoy todavía no domina?</w:t>
      </w:r>
      <w:r/>
      <w:r>
        <w:br/>
      </w:r>
      <w:r>
        <w:rPr>
          <w:i/>
        </w:rPr>
        <w:t>(respuesta abierta)</w:t>
      </w:r>
    </w:p>
    <w:p>
      <w:r>
        <w:rPr>
          <w:b/>
        </w:rPr>
        <w:t>Fin de la encuesta. Muchas gracias por su contribución lúcida a la causa ciber.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