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NIST CSF 2.0</w:t>
      </w:r>
    </w:p>
    <w:p>
      <w:pPr>
        <w:pStyle w:val="Heading2"/>
        <w:keepNext/>
        <w:keepLines/>
      </w:pPr>
      <w:r>
        <w:rPr>
          <w:color w:val="0066CC"/>
        </w:rPr>
        <w:t>Diseño, aplicación, análisis y uso de resultados</w:t>
      </w:r>
    </w:p>
    <w:p>
      <w:pPr>
        <w:pStyle w:val="Heading2"/>
        <w:keepNext/>
        <w:keepLines/>
      </w:pPr>
      <w:r>
        <w:rPr>
          <w:color w:val="0066CC"/>
        </w:rPr>
        <w:t>1. Propósito de la encuesta</w:t>
      </w:r>
    </w:p>
    <w:p>
      <w:r>
        <w:t xml:space="preserve">La presente encuesta tiene como objetivo medir el grado de adopción, madurez y capacidad de medición (KPIs/KRIs) en materia de ciberseguridad de organizaciones ubicadas en España, tomando como referencia el NIST Cybersecurity Framework 2.0 (NIST CSF 2.0) y marcos normativos relacionados.  </w:t>
      </w:r>
    </w:p>
    <w:p>
      <w:r>
        <w:t>Busca, además, proporcionar una base cuantitativa para calcular un Índice Global de Madurez (IGM) y estimar el retorno de la inversión (ROI) en iniciativas de ciberseguridad.</w:t>
      </w:r>
    </w:p>
    <w:p>
      <w:pPr>
        <w:pStyle w:val="Heading2"/>
        <w:keepNext/>
        <w:keepLines/>
      </w:pPr>
      <w:r>
        <w:rPr>
          <w:color w:val="0066CC"/>
        </w:rPr>
        <w:t>2. Marco conceptual</w:t>
      </w:r>
    </w:p>
    <w:p>
      <w:r>
        <w:t>La encuesta se estructura alrededor de las seis funciones del NIST CSF 2.0:</w:t>
      </w:r>
    </w:p>
    <w:p>
      <w:pPr>
        <w:pStyle w:val="ListBullet"/>
        <w:keepLines w:val="1"/>
        <w:keepNext w:val="1"/>
        <w:widowControl w:val="1"/>
      </w:pPr>
      <w:r>
        <w:t xml:space="preserve">GOVERN (GV) – Estrategia, gobernanza, roles, apetito de riesgo.  </w:t>
      </w:r>
    </w:p>
    <w:p>
      <w:pPr>
        <w:pStyle w:val="ListBullet"/>
        <w:keepLines w:val="1"/>
        <w:keepNext w:val="1"/>
        <w:widowControl w:val="1"/>
      </w:pPr>
      <w:r>
        <w:t xml:space="preserve">IDENTIFY (ID) – Activos, contexto de negocio, riesgo, datos.  </w:t>
      </w:r>
    </w:p>
    <w:p>
      <w:pPr>
        <w:pStyle w:val="ListBullet"/>
        <w:keepLines w:val="1"/>
        <w:keepNext w:val="1"/>
        <w:widowControl w:val="1"/>
      </w:pPr>
      <w:r>
        <w:t xml:space="preserve">PROTECT (PR) – Controles preventivos, acceso, formación, protección de datos.  </w:t>
      </w:r>
    </w:p>
    <w:p>
      <w:pPr>
        <w:pStyle w:val="ListBullet"/>
        <w:keepLines w:val="1"/>
        <w:keepNext w:val="1"/>
        <w:widowControl w:val="1"/>
      </w:pPr>
      <w:r>
        <w:t xml:space="preserve">DETECT (DE) – Monitorización, detección de eventos e incidentes.  </w:t>
      </w:r>
    </w:p>
    <w:p>
      <w:pPr>
        <w:pStyle w:val="ListBullet"/>
        <w:keepLines w:val="1"/>
        <w:keepNext w:val="1"/>
        <w:widowControl w:val="1"/>
      </w:pPr>
      <w:r>
        <w:t xml:space="preserve">RESPOND (RS) – Respuesta, gestión de incidentes, comunicación.  </w:t>
      </w:r>
    </w:p>
    <w:p>
      <w:pPr>
        <w:pStyle w:val="ListBullet"/>
        <w:keepLines w:val="1"/>
        <w:widowControl w:val="1"/>
      </w:pPr>
      <w:r>
        <w:t xml:space="preserve">RECOVER (RC) – Recuperación, continuidad, resiliencia.  </w:t>
      </w:r>
    </w:p>
    <w:p>
      <w:r>
        <w:t>Se añaden explícitamente preguntas sobre:</w:t>
      </w:r>
    </w:p>
    <w:p>
      <w:pPr>
        <w:pStyle w:val="ListBullet"/>
        <w:keepLines w:val="1"/>
        <w:keepNext w:val="1"/>
        <w:widowControl w:val="1"/>
      </w:pPr>
      <w:r>
        <w:t xml:space="preserve">Gestión de cadena de suministro (GV.SC).  </w:t>
      </w:r>
    </w:p>
    <w:p>
      <w:pPr>
        <w:pStyle w:val="ListBullet"/>
        <w:keepLines w:val="1"/>
        <w:widowControl w:val="1"/>
      </w:pPr>
      <w:r>
        <w:t>Prácticas de medición, cuadros de mando y ROI (métricas y analítica).</w:t>
      </w:r>
    </w:p>
    <w:p>
      <w:pPr>
        <w:pStyle w:val="Heading2"/>
        <w:keepNext/>
        <w:keepLines/>
      </w:pPr>
      <w:r>
        <w:rPr>
          <w:color w:val="0066CC"/>
        </w:rPr>
        <w:t>3. Población objetivo y muestreo</w:t>
      </w:r>
    </w:p>
    <w:p>
      <w:pPr>
        <w:pStyle w:val="Heading3"/>
        <w:keepNext/>
        <w:keepLines/>
      </w:pPr>
      <w:r>
        <w:t>3.1. Población objetivo</w:t>
      </w:r>
    </w:p>
    <w:p>
      <w:pPr>
        <w:pStyle w:val="ListBullet"/>
        <w:keepLines w:val="1"/>
        <w:keepNext w:val="1"/>
        <w:widowControl w:val="1"/>
      </w:pPr>
      <w:r>
        <w:t xml:space="preserve">Organizaciones con presencia significativa en España:  </w:t>
      </w:r>
    </w:p>
    <w:p>
      <w:pPr>
        <w:pStyle w:val="ListBullet"/>
        <w:keepLines w:val="1"/>
        <w:keepNext w:val="1"/>
        <w:widowControl w:val="1"/>
      </w:pPr>
      <w:r>
        <w:t xml:space="preserve">Administración pública (AGE, CCAA, EELL, organismos independientes).  </w:t>
      </w:r>
    </w:p>
    <w:p>
      <w:pPr>
        <w:pStyle w:val="ListBullet"/>
        <w:keepLines w:val="1"/>
        <w:keepNext w:val="1"/>
        <w:widowControl w:val="1"/>
      </w:pPr>
      <w:r>
        <w:t xml:space="preserve">Operadores de servicios esenciales y entidades sujetas a NIS/NIS2.  </w:t>
      </w:r>
    </w:p>
    <w:p>
      <w:pPr>
        <w:pStyle w:val="ListBullet"/>
        <w:keepLines w:val="1"/>
        <w:keepNext w:val="1"/>
        <w:widowControl w:val="1"/>
      </w:pPr>
      <w:r>
        <w:t xml:space="preserve">Entidades financieras y otras obligadas por DORA.  </w:t>
      </w:r>
    </w:p>
    <w:p>
      <w:pPr>
        <w:pStyle w:val="ListBullet"/>
        <w:keepLines w:val="1"/>
        <w:widowControl w:val="1"/>
      </w:pPr>
      <w:r>
        <w:t xml:space="preserve">Empresas privadas medianas y grandes.  </w:t>
      </w:r>
    </w:p>
    <w:p>
      <w:pPr>
        <w:pStyle w:val="Heading3"/>
        <w:keepNext/>
        <w:keepLines/>
      </w:pPr>
      <w:r>
        <w:t>3.2. Perfil de los encuestados</w:t>
      </w:r>
    </w:p>
    <w:p>
      <w:r>
        <w:t>Se recomienda que respondan:</w:t>
      </w:r>
    </w:p>
    <w:p>
      <w:pPr>
        <w:pStyle w:val="ListBullet"/>
        <w:keepLines w:val="1"/>
        <w:keepNext w:val="1"/>
        <w:widowControl w:val="1"/>
      </w:pPr>
      <w:r>
        <w:t xml:space="preserve">CISO, responsable de seguridad de la información, responsable de riesgos TI o equivalente.  </w:t>
      </w:r>
    </w:p>
    <w:p>
      <w:pPr>
        <w:pStyle w:val="ListBullet"/>
        <w:keepLines w:val="1"/>
        <w:widowControl w:val="1"/>
      </w:pPr>
      <w:r>
        <w:t xml:space="preserve">En su defecto, perfiles de alta dirección de TI (CIO) o gerencia con conocimiento suficiente del programa de seguridad.  </w:t>
      </w:r>
    </w:p>
    <w:p>
      <w:pPr>
        <w:pStyle w:val="Heading2"/>
        <w:keepNext/>
        <w:keepLines/>
      </w:pPr>
      <w:r>
        <w:rPr>
          <w:color w:val="0066CC"/>
        </w:rPr>
        <w:t>4. Diseño del cuestionario</w:t>
      </w:r>
    </w:p>
    <w:p>
      <w:pPr>
        <w:pStyle w:val="Heading3"/>
        <w:keepNext/>
        <w:keepLines/>
      </w:pPr>
      <w:r>
        <w:t>4.1. Tipología de preguntas</w:t>
      </w:r>
    </w:p>
    <w:p>
      <w:pPr>
        <w:pStyle w:val="ListBullet"/>
        <w:keepLines w:val="1"/>
        <w:keepNext w:val="1"/>
        <w:widowControl w:val="1"/>
      </w:pPr>
      <w:r>
        <w:t xml:space="preserve">Preguntas cerradas de opción única, formuladas como escalas de madurez o frecuencia.  </w:t>
      </w:r>
    </w:p>
    <w:p>
      <w:pPr>
        <w:pStyle w:val="ListBullet"/>
        <w:keepLines w:val="1"/>
        <w:keepNext w:val="1"/>
        <w:widowControl w:val="1"/>
      </w:pPr>
      <w:r>
        <w:t xml:space="preserve">Preguntas de opción múltiple para identificar prácticas simultáneas.  </w:t>
      </w:r>
    </w:p>
    <w:p>
      <w:pPr>
        <w:pStyle w:val="ListBullet"/>
        <w:keepLines w:val="1"/>
        <w:widowControl w:val="1"/>
      </w:pPr>
      <w:r>
        <w:t>Preguntas abiertas para recoger percepciones, barreras y aspiraciones.</w:t>
      </w:r>
    </w:p>
    <w:p>
      <w:r>
        <w:t>Las opciones de respuesta se formulan con un tono ligeramente irónico pero respetuoso, para favorecer la auto‑reflexión y evitar el exceso de complacencia.</w:t>
      </w:r>
    </w:p>
    <w:p>
      <w:pPr>
        <w:pStyle w:val="Heading3"/>
        <w:keepNext/>
        <w:keepLines/>
      </w:pPr>
      <w:r>
        <w:t>4.2. Escalas de madurez sugeridas</w:t>
      </w:r>
    </w:p>
    <w:p>
      <w:r>
        <w:t>Se sugiere mapear las opciones de respuesta a una escala interna numérica, por ejemplo:</w:t>
      </w:r>
    </w:p>
    <w:p>
      <w:pPr>
        <w:pStyle w:val="ListBullet"/>
        <w:keepLines w:val="1"/>
        <w:keepNext w:val="1"/>
        <w:widowControl w:val="1"/>
      </w:pPr>
      <w:r>
        <w:t xml:space="preserve">0 = Inexistente / ad hoc / no se realiza.  </w:t>
      </w:r>
    </w:p>
    <w:p>
      <w:pPr>
        <w:pStyle w:val="ListBullet"/>
        <w:keepLines w:val="1"/>
        <w:keepNext w:val="1"/>
        <w:widowControl w:val="1"/>
      </w:pPr>
      <w:r>
        <w:t xml:space="preserve">1 = Inicial / informal / muy parcial.  </w:t>
      </w:r>
    </w:p>
    <w:p>
      <w:pPr>
        <w:pStyle w:val="ListBullet"/>
        <w:keepLines w:val="1"/>
        <w:keepNext w:val="1"/>
        <w:widowControl w:val="1"/>
      </w:pPr>
      <w:r>
        <w:t xml:space="preserve">2 = Definido / en despliegue / cobertura moderada.  </w:t>
      </w:r>
    </w:p>
    <w:p>
      <w:pPr>
        <w:pStyle w:val="ListBullet"/>
        <w:keepLines w:val="1"/>
        <w:keepNext w:val="1"/>
        <w:widowControl w:val="1"/>
      </w:pPr>
      <w:r>
        <w:t xml:space="preserve">3 = Estable / repetible / ampliamente aplicado.  </w:t>
      </w:r>
    </w:p>
    <w:p>
      <w:pPr>
        <w:pStyle w:val="ListBullet"/>
        <w:keepLines w:val="1"/>
        <w:widowControl w:val="1"/>
      </w:pPr>
      <w:r>
        <w:t xml:space="preserve">4 = Optimizado / gestionado por métricas / integrado.  </w:t>
      </w:r>
    </w:p>
    <w:p>
      <w:r>
        <w:t>Cada pregunta cerrada se codifica con un valor de 0 a 4 según el nivel de madurez implícito en la opción elegida.</w:t>
      </w:r>
    </w:p>
    <w:p>
      <w:pPr>
        <w:pStyle w:val="Heading2"/>
        <w:keepNext/>
        <w:keepLines/>
      </w:pPr>
      <w:r>
        <w:rPr>
          <w:color w:val="0066CC"/>
        </w:rPr>
        <w:t>5. Cálculo del Índice Global de Madurez (IGM)</w:t>
      </w:r>
    </w:p>
    <w:p>
      <w:pPr>
        <w:pStyle w:val="Heading3"/>
        <w:keepNext/>
        <w:keepLines/>
      </w:pPr>
      <w:r>
        <w:t>5.1. Normalización por función CSF</w:t>
      </w:r>
    </w:p>
    <w:p>
      <w:pPr>
        <w:pStyle w:val="ListNumber"/>
        <w:keepLines w:val="1"/>
        <w:keepNext w:val="1"/>
        <w:widowControl w:val="1"/>
      </w:pPr>
      <w:r>
        <w:t xml:space="preserve">Asignar a cada respuesta cerrada un valor numérico de 0–4.  </w:t>
      </w:r>
    </w:p>
    <w:p>
      <w:pPr>
        <w:pStyle w:val="ListNumber"/>
        <w:keepLines w:val="1"/>
        <w:keepNext w:val="1"/>
        <w:widowControl w:val="1"/>
      </w:pPr>
      <w:r>
        <w:t xml:space="preserve">Agrupar las preguntas por función (GV, ID, PR, DE, RS, RC, SC, métricas/ROI).  </w:t>
      </w:r>
    </w:p>
    <w:p>
      <w:pPr>
        <w:pStyle w:val="ListNumber"/>
        <w:keepLines w:val="1"/>
        <w:widowControl w:val="1"/>
      </w:pPr>
      <w:r>
        <w:t>Para cada función, calcular el promedio simple o ponderado de los valores de sus preguntas.</w:t>
      </w:r>
    </w:p>
    <w:p>
      <w:r>
        <w:t>Ejemplo:</w:t>
      </w:r>
      <w:r/>
      <w:r>
        <w:br/>
        <w:t>- GV_madurez = promedio de P-GV-01 a P-GV-08.</w:t>
      </w:r>
      <w:r/>
      <w:r>
        <w:br/>
        <w:t>- ID_madurez = promedio de P-ID-01 a P-ID-07.</w:t>
      </w:r>
      <w:r/>
      <w:r>
        <w:br/>
        <w:t>- Etc.</w:t>
      </w:r>
    </w:p>
    <w:p>
      <w:pPr>
        <w:pStyle w:val="Heading3"/>
        <w:keepNext/>
        <w:keepLines/>
      </w:pPr>
      <w:r>
        <w:t>5.2. Cálculo del IGM</w:t>
      </w:r>
    </w:p>
    <w:p>
      <w:r>
        <w:t>El IGM se calcula como el promedio (simple o ponderado) de las funciones:</w:t>
      </w:r>
    </w:p>
    <w:p>
      <w:r>
        <w:t>[</w:t>
      </w:r>
      <w:r/>
      <w:r>
        <w:br/>
        <w:t>IGM = \frac{GV + ID + PR + DE + RS + RC + SC + ME}{8}</w:t>
      </w:r>
      <w:r/>
      <w:r>
        <w:br/>
        <w:t>]</w:t>
      </w:r>
    </w:p>
    <w:p>
      <w:r>
        <w:t xml:space="preserve">donde ME representa métricas/ROI.  </w:t>
      </w:r>
    </w:p>
    <w:p>
      <w:r>
        <w:t>La escala resultante puede expresarse:</w:t>
      </w:r>
    </w:p>
    <w:p>
      <w:pPr>
        <w:pStyle w:val="ListBullet"/>
        <w:keepLines w:val="1"/>
        <w:keepNext w:val="1"/>
        <w:widowControl w:val="1"/>
      </w:pPr>
      <w:r>
        <w:t xml:space="preserve">0,0 – 0,9 → Nivel 1: Inicial / ad hoc.  </w:t>
      </w:r>
    </w:p>
    <w:p>
      <w:pPr>
        <w:pStyle w:val="ListBullet"/>
        <w:keepLines w:val="1"/>
        <w:keepNext w:val="1"/>
        <w:widowControl w:val="1"/>
      </w:pPr>
      <w:r>
        <w:t xml:space="preserve">1,0 – 1,9 → Nivel 2: Básico / fragmentado.  </w:t>
      </w:r>
    </w:p>
    <w:p>
      <w:pPr>
        <w:pStyle w:val="ListBullet"/>
        <w:keepLines w:val="1"/>
        <w:keepNext w:val="1"/>
        <w:widowControl w:val="1"/>
      </w:pPr>
      <w:r>
        <w:t xml:space="preserve">2,0 – 2,9 → Nivel 3: Definido / en despliegue.  </w:t>
      </w:r>
    </w:p>
    <w:p>
      <w:pPr>
        <w:pStyle w:val="ListBullet"/>
        <w:keepLines w:val="1"/>
        <w:keepNext w:val="1"/>
        <w:widowControl w:val="1"/>
      </w:pPr>
      <w:r>
        <w:t xml:space="preserve">3,0 – 3,4 → Nivel 4: Gestionado / repetible.  </w:t>
      </w:r>
    </w:p>
    <w:p>
      <w:pPr>
        <w:pStyle w:val="ListBullet"/>
        <w:keepLines w:val="1"/>
        <w:widowControl w:val="1"/>
      </w:pPr>
      <w:r>
        <w:t>3,5 – 4,0 → Nivel 5: Optimizado / integrado.</w:t>
      </w:r>
    </w:p>
    <w:p>
      <w:r>
        <w:t>Se recomienda ajustar estas bandas en función de la distribución real de respuestas.</w:t>
      </w:r>
    </w:p>
    <w:p>
      <w:pPr>
        <w:pStyle w:val="Heading2"/>
        <w:keepNext/>
        <w:keepLines/>
      </w:pPr>
      <w:r>
        <w:rPr>
          <w:color w:val="0066CC"/>
        </w:rPr>
        <w:t>6. Enfoque para el ROI</w:t>
      </w:r>
    </w:p>
    <w:p>
      <w:pPr>
        <w:pStyle w:val="Heading3"/>
        <w:keepNext/>
        <w:keepLines/>
      </w:pPr>
      <w:r>
        <w:t>6.1. Variables recomendadas</w:t>
      </w:r>
    </w:p>
    <w:p>
      <w:pPr>
        <w:pStyle w:val="ListBullet"/>
        <w:keepLines w:val="1"/>
        <w:keepNext w:val="1"/>
        <w:widowControl w:val="1"/>
      </w:pPr>
      <w:r>
        <w:t xml:space="preserve">Costes anuales de ciberseguridad (OPEX + CAPEX).  </w:t>
      </w:r>
    </w:p>
    <w:p>
      <w:pPr>
        <w:pStyle w:val="ListBullet"/>
        <w:keepLines w:val="1"/>
        <w:keepNext w:val="1"/>
        <w:widowControl w:val="1"/>
      </w:pPr>
      <w:r>
        <w:t xml:space="preserve">Estimación de pérdidas evitadas (o reducidas) por incidentes mitigados.  </w:t>
      </w:r>
    </w:p>
    <w:p>
      <w:pPr>
        <w:pStyle w:val="ListBullet"/>
        <w:keepLines w:val="1"/>
        <w:keepNext w:val="1"/>
        <w:widowControl w:val="1"/>
      </w:pPr>
      <w:r>
        <w:t xml:space="preserve">Reducción de exposición al riesgo (p.ej., pérdidas esperadas monetizadas).  </w:t>
      </w:r>
    </w:p>
    <w:p>
      <w:pPr>
        <w:pStyle w:val="ListBullet"/>
        <w:keepLines w:val="1"/>
        <w:widowControl w:val="1"/>
      </w:pPr>
      <w:r>
        <w:t xml:space="preserve">Impacto en cumplimiento normativo (p.ej., reducción de probabilidad de sanciones).  </w:t>
      </w:r>
    </w:p>
    <w:p>
      <w:pPr>
        <w:pStyle w:val="Heading3"/>
        <w:keepNext/>
        <w:keepLines/>
      </w:pPr>
      <w:r>
        <w:t>6.2. Fórmulas simplificadas</w:t>
      </w:r>
    </w:p>
    <w:p>
      <w:r>
        <w:t>Se puede emplear una aproximación básica:</w:t>
      </w:r>
    </w:p>
    <w:p>
      <w:r>
        <w:t>[</w:t>
      </w:r>
      <w:r/>
      <w:r>
        <w:br/>
        <w:t>ROI_{ciber} = \frac{Beneficios\ estimados - Costes\ de\ ciberseguridad}{Costes\ de\ ciberseguridad}</w:t>
      </w:r>
      <w:r/>
      <w:r>
        <w:br/>
        <w:t>]</w:t>
      </w:r>
    </w:p>
    <w:p>
      <w:r>
        <w:t>donde los beneficios incluyen reducción de pérdidas esperadas, de sanciones, de tiempo de indisponibilidad y otros factores cuantificables.</w:t>
      </w:r>
    </w:p>
    <w:p>
      <w:r>
        <w:t>La plantilla de Excel recomendada (descrita en el documento e_plantilla_igm_roi.md) incluye campos para que la organización introduzca:</w:t>
      </w:r>
    </w:p>
    <w:p>
      <w:pPr>
        <w:pStyle w:val="ListBullet"/>
        <w:keepLines w:val="1"/>
        <w:keepNext w:val="1"/>
        <w:widowControl w:val="1"/>
      </w:pPr>
      <w:r>
        <w:t xml:space="preserve">Costes.  </w:t>
      </w:r>
    </w:p>
    <w:p>
      <w:pPr>
        <w:pStyle w:val="ListBullet"/>
        <w:keepLines w:val="1"/>
        <w:keepNext w:val="1"/>
        <w:widowControl w:val="1"/>
      </w:pPr>
      <w:r>
        <w:t xml:space="preserve">Incidentes antes/después.  </w:t>
      </w:r>
    </w:p>
    <w:p>
      <w:pPr>
        <w:pStyle w:val="ListBullet"/>
        <w:keepLines w:val="1"/>
        <w:keepNext w:val="1"/>
        <w:widowControl w:val="1"/>
      </w:pPr>
      <w:r>
        <w:t xml:space="preserve">Reducción de tiempos (MTTD, MTTR, RTO).  </w:t>
      </w:r>
    </w:p>
    <w:p>
      <w:pPr>
        <w:pStyle w:val="ListBullet"/>
        <w:keepLines w:val="1"/>
        <w:widowControl w:val="1"/>
      </w:pPr>
      <w:r>
        <w:t>Estimaciones monetarias asociadas.</w:t>
      </w:r>
    </w:p>
    <w:p>
      <w:pPr>
        <w:pStyle w:val="Heading2"/>
        <w:keepNext/>
        <w:keepLines/>
      </w:pPr>
      <w:r>
        <w:rPr>
          <w:color w:val="0066CC"/>
        </w:rPr>
        <w:t>7. Aplicación de la encuesta</w:t>
      </w:r>
    </w:p>
    <w:p>
      <w:pPr>
        <w:pStyle w:val="Heading3"/>
        <w:keepNext/>
        <w:keepLines/>
      </w:pPr>
      <w:r>
        <w:t>7.1. Modalidad</w:t>
      </w:r>
    </w:p>
    <w:p>
      <w:pPr>
        <w:pStyle w:val="ListBullet"/>
        <w:keepLines w:val="1"/>
        <w:keepNext w:val="1"/>
        <w:widowControl w:val="1"/>
      </w:pPr>
      <w:r>
        <w:t xml:space="preserve">Preferentemente online, mediante formulario estructurado que refleje la encuesta.  </w:t>
      </w:r>
    </w:p>
    <w:p>
      <w:pPr>
        <w:pStyle w:val="ListBullet"/>
        <w:keepLines w:val="1"/>
        <w:widowControl w:val="1"/>
      </w:pPr>
      <w:r>
        <w:t>Alternativamente, mediante entrevistas semiestructuradas guiadas por este cuestionario.</w:t>
      </w:r>
    </w:p>
    <w:p>
      <w:pPr>
        <w:pStyle w:val="Heading3"/>
        <w:keepNext/>
        <w:keepLines/>
      </w:pPr>
      <w:r>
        <w:t>7.2. Duración</w:t>
      </w:r>
    </w:p>
    <w:p>
      <w:pPr>
        <w:pStyle w:val="ListBullet"/>
        <w:keepLines w:val="1"/>
        <w:keepNext w:val="1"/>
        <w:widowControl w:val="1"/>
      </w:pPr>
      <w:r>
        <w:t xml:space="preserve">Objetivo: 20–30 minutos.  </w:t>
      </w:r>
    </w:p>
    <w:p>
      <w:pPr>
        <w:pStyle w:val="ListBullet"/>
        <w:keepLines w:val="1"/>
        <w:widowControl w:val="1"/>
      </w:pPr>
      <w:r>
        <w:t>Incluir instrucciones claras y contexto sobre uso de datos y confidencialidad.</w:t>
      </w:r>
    </w:p>
    <w:p>
      <w:pPr>
        <w:pStyle w:val="Heading3"/>
        <w:keepNext/>
        <w:keepLines/>
      </w:pPr>
      <w:r>
        <w:t>7.3. Confidencialidad</w:t>
      </w:r>
    </w:p>
    <w:p>
      <w:pPr>
        <w:pStyle w:val="ListBullet"/>
        <w:keepLines w:val="1"/>
        <w:keepNext w:val="1"/>
        <w:widowControl w:val="1"/>
      </w:pPr>
      <w:r>
        <w:t xml:space="preserve">Garantizar anonimato o seudonimización de los resultados agregados.  </w:t>
      </w:r>
    </w:p>
    <w:p>
      <w:pPr>
        <w:pStyle w:val="ListBullet"/>
        <w:keepLines w:val="1"/>
        <w:widowControl w:val="1"/>
      </w:pPr>
      <w:r>
        <w:t>Comunicar explícitamente si se compartirán resultados individuales con terceros.</w:t>
      </w:r>
    </w:p>
    <w:p>
      <w:pPr>
        <w:pStyle w:val="Heading2"/>
        <w:keepNext/>
        <w:keepLines/>
      </w:pPr>
      <w:r>
        <w:rPr>
          <w:color w:val="0066CC"/>
        </w:rPr>
        <w:t>8. Análisis de resultados</w:t>
      </w:r>
    </w:p>
    <w:p>
      <w:pPr>
        <w:pStyle w:val="Heading3"/>
        <w:keepNext/>
        <w:keepLines/>
      </w:pPr>
      <w:r>
        <w:t>8.1. Análisis descriptivo</w:t>
      </w:r>
    </w:p>
    <w:p>
      <w:pPr>
        <w:pStyle w:val="ListBullet"/>
        <w:keepLines w:val="1"/>
        <w:keepNext w:val="1"/>
        <w:widowControl w:val="1"/>
      </w:pPr>
      <w:r>
        <w:t xml:space="preserve">Distribución de madurez por función CSF.  </w:t>
      </w:r>
    </w:p>
    <w:p>
      <w:pPr>
        <w:pStyle w:val="ListBullet"/>
        <w:keepLines w:val="1"/>
        <w:keepNext w:val="1"/>
        <w:widowControl w:val="1"/>
      </w:pPr>
      <w:r>
        <w:t xml:space="preserve">Comparación por tipo de organización (pública/privada, sector, tamaño).  </w:t>
      </w:r>
    </w:p>
    <w:p>
      <w:pPr>
        <w:pStyle w:val="ListBullet"/>
        <w:keepLines w:val="1"/>
        <w:widowControl w:val="1"/>
      </w:pPr>
      <w:r>
        <w:t>Identificación de dominios más y menos maduros.</w:t>
      </w:r>
    </w:p>
    <w:p>
      <w:pPr>
        <w:pStyle w:val="Heading3"/>
        <w:keepNext/>
        <w:keepLines/>
      </w:pPr>
      <w:r>
        <w:t>8.2. Análisis de correlaciones</w:t>
      </w:r>
    </w:p>
    <w:p>
      <w:r>
        <w:t>Explorar relaciones, por ejemplo:</w:t>
      </w:r>
    </w:p>
    <w:p>
      <w:pPr>
        <w:pStyle w:val="ListBullet"/>
        <w:keepLines w:val="1"/>
        <w:keepNext w:val="1"/>
        <w:widowControl w:val="1"/>
      </w:pPr>
      <w:r>
        <w:t xml:space="preserve">Madurez en GOVERN vs. madurez global.  </w:t>
      </w:r>
    </w:p>
    <w:p>
      <w:pPr>
        <w:pStyle w:val="ListBullet"/>
        <w:keepLines w:val="1"/>
        <w:keepNext w:val="1"/>
        <w:widowControl w:val="1"/>
      </w:pPr>
      <w:r>
        <w:t xml:space="preserve">Impacto de métricas/ROI (ME) en otros dominios.  </w:t>
      </w:r>
    </w:p>
    <w:p>
      <w:pPr>
        <w:pStyle w:val="ListBullet"/>
        <w:keepLines w:val="1"/>
        <w:widowControl w:val="1"/>
      </w:pPr>
      <w:r>
        <w:t>Relación entre tamaño de organización y nivel de madurez.</w:t>
      </w:r>
    </w:p>
    <w:p>
      <w:pPr>
        <w:pStyle w:val="Heading3"/>
        <w:keepNext/>
        <w:keepLines/>
      </w:pPr>
      <w:r>
        <w:t>8.3. Benchmarking</w:t>
      </w:r>
    </w:p>
    <w:p>
      <w:pPr>
        <w:pStyle w:val="ListBullet"/>
        <w:keepLines w:val="1"/>
        <w:keepNext w:val="1"/>
        <w:widowControl w:val="1"/>
      </w:pPr>
      <w:r>
        <w:t xml:space="preserve">Cálculo de percentiles por función.  </w:t>
      </w:r>
    </w:p>
    <w:p>
      <w:pPr>
        <w:pStyle w:val="ListBullet"/>
        <w:keepLines w:val="1"/>
        <w:widowControl w:val="1"/>
      </w:pPr>
      <w:r>
        <w:t>Posicionamiento de cada organización (si se desea) respecto a medianas de su sector.</w:t>
      </w:r>
    </w:p>
    <w:p>
      <w:pPr>
        <w:pStyle w:val="Heading2"/>
        <w:keepNext/>
        <w:keepLines/>
      </w:pPr>
      <w:r>
        <w:rPr>
          <w:color w:val="0066CC"/>
        </w:rPr>
        <w:t>9. Utilización de resultados</w:t>
      </w:r>
    </w:p>
    <w:p>
      <w:pPr>
        <w:pStyle w:val="ListBullet"/>
        <w:keepLines w:val="1"/>
        <w:keepNext w:val="1"/>
        <w:widowControl w:val="1"/>
      </w:pPr>
      <w:r>
        <w:t xml:space="preserve">Para la organización individual:  </w:t>
      </w:r>
    </w:p>
    <w:p>
      <w:pPr>
        <w:pStyle w:val="ListBullet"/>
        <w:keepLines w:val="1"/>
        <w:keepNext w:val="1"/>
        <w:widowControl w:val="1"/>
      </w:pPr>
      <w:r>
        <w:t xml:space="preserve">Identificar brechas y prioridades de mejora.  </w:t>
      </w:r>
    </w:p>
    <w:p>
      <w:pPr>
        <w:pStyle w:val="ListBullet"/>
        <w:keepLines w:val="1"/>
        <w:keepNext w:val="1"/>
        <w:widowControl w:val="1"/>
      </w:pPr>
      <w:r>
        <w:br/>
        <w:t xml:space="preserve">Comunicar al comité de dirección la posición relativa.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Para el nivel sectorial/nacional:  </w:t>
        <w:br/>
      </w:r>
    </w:p>
    <w:p>
      <w:pPr>
        <w:pStyle w:val="ListBullet"/>
        <w:keepLines w:val="1"/>
        <w:keepNext w:val="1"/>
        <w:widowControl w:val="1"/>
      </w:pPr>
      <w:r>
        <w:t xml:space="preserve">Alimentar indicadores agregados de resiliencia.  </w:t>
      </w:r>
    </w:p>
    <w:p>
      <w:pPr>
        <w:pStyle w:val="ListBullet"/>
        <w:keepLines w:val="1"/>
        <w:widowControl w:val="1"/>
      </w:pPr>
      <w:r>
        <w:t xml:space="preserve">Apoyar la planificación de políticas públicas y programas de ayuda.  </w:t>
      </w:r>
    </w:p>
    <w:p>
      <w:r>
        <w:t xml:space="preserve">Comunicar al comité de dirección la posición relativa.  </w:t>
      </w:r>
    </w:p>
    <w:p>
      <w:r>
        <w:rPr>
          <w:b/>
        </w:rPr>
        <w:t>Para el nivel sectorial/nacional</w:t>
      </w:r>
      <w:r>
        <w:t xml:space="preserve">:  </w:t>
      </w:r>
    </w:p>
    <w:p>
      <w:pPr>
        <w:pStyle w:val="Heading2"/>
        <w:keepNext/>
        <w:keepLines/>
      </w:pPr>
      <w:r>
        <w:rPr>
          <w:color w:val="0066CC"/>
        </w:rPr>
        <w:t>10. Recomendaciones finales</w:t>
      </w:r>
    </w:p>
    <w:p>
      <w:pPr>
        <w:pStyle w:val="ListBullet"/>
        <w:keepLines w:val="1"/>
        <w:keepNext w:val="1"/>
        <w:widowControl w:val="1"/>
      </w:pPr>
      <w:r>
        <w:t xml:space="preserve">Mantener la encuesta estable en el tiempo para permitir comparaciones longitudinales.  </w:t>
      </w:r>
    </w:p>
    <w:p>
      <w:pPr>
        <w:pStyle w:val="ListBullet"/>
        <w:keepLines w:val="1"/>
        <w:keepNext w:val="1"/>
        <w:widowControl w:val="1"/>
      </w:pPr>
      <w:r>
        <w:t xml:space="preserve">Revisar el cuestionario a la luz de nuevas versiones del NIST CSF, normativa europea y española.  </w:t>
      </w:r>
    </w:p>
    <w:p>
      <w:pPr>
        <w:pStyle w:val="ListBullet"/>
        <w:keepLines w:val="1"/>
        <w:widowControl w:val="1"/>
      </w:pPr>
      <w:r>
        <w:t>Fomentar una lectura constructiva de los resultados: no se trata de suspender a nadie, sino de medir para mejorar.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