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r>
        <w:t>La siguiente tabla resume la valoración PRAGMATIC (1–5) de un conjunto representativo de métricas derivadas del informe de indicadores NIST CSF 2.0.[web:40][web:44][web:47]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CSF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 (Predictivo)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 (Relevante)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(Accionable)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 (Genuino)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 (Significativo)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(Preciso)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 (Oportuno)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 (Independiente)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 (Rentable)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% cuentas alto riesgo con MFA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Variación cobertura MFA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MTTD incidentes graves (horas)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Tendencia MTTD (%)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% servicios críticos que cumplen RTO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Evolución % cumplimiento RTO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% activos detectados automáticamente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Nº activos huérfanos detectados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% proveedores críticos con cláusulas ciber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GV.SC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Nº contratos críticos revisados/año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GV.SC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% objetivos de riesgo con KPIs definidos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GV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Frecuencia de revisión de estrategia (años)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GV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% repositorios de datos con propietario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% plantilla sometida a formación anual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Tasa de clic en campañas de phishing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% incidentes gestionados según plan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Tiempo medio de contención (horas)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RS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</w:tr>
    </w:tbl>
    <w:p/>
    <w:p>
      <w:r>
        <w:t>Los valores son orientativos y deben ajustarse a la realidad de cada organización o estudio.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