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keepNext/>
        <w:keepLines/>
      </w:pPr>
      <w:r>
        <w:rPr>
          <w:color w:val="003366"/>
        </w:rPr>
        <w:t>Mapeo de indicadores GQM a requisitos normativos (alto nivel)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cantSplit w:val="1"/>
        </w:trPr>
        <w:tc>
          <w:tcPr>
            <w:tcW w:type="dxa" w:w="234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Indicador / Métrica</w:t>
            </w:r>
          </w:p>
        </w:tc>
        <w:tc>
          <w:tcPr>
            <w:tcW w:type="dxa" w:w="234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Función CSF 2.0</w:t>
            </w:r>
          </w:p>
        </w:tc>
        <w:tc>
          <w:tcPr>
            <w:tcW w:type="dxa" w:w="234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Ejemplos NIST CSF 2.0 relevantes</w:t>
            </w:r>
          </w:p>
        </w:tc>
        <w:tc>
          <w:tcPr>
            <w:tcW w:type="dxa" w:w="234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Normativa / marcos relacionados (alto nivel)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% cuentas alto riesgo con MFA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PR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PR.AA: gestión de identidades y autenticación fuerte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ENS (control de acceso); ISO/IEC 27001 A.5, A.8; NIS2 (gestión de acceso)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Variación cobertura MFA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PR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PR.AA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ISO/IEC 27004 (medición de seguridad); marcos GRC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MTTD incidentes graves (horas)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DE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DE.CM: monitoreo continuo; DE.DP: detección de eventos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ENS (detección de intrusiones); ISO/IEC 27035; NIS/NIS2 (detección y notificación)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Tendencia MTTD (%)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DE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DE.CM, DE.DP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ISO/IEC 27004; guías de métricas de incidentes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% servicios críticos que cumplen RTO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RC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RC.RP: planes de recuperación; RC.IM: pruebas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ISO 22301 (continuidad); ENS (continuidad del servicio); DORA (resiliencia operativa digital)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Evolución % cumplimiento RTO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RC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RC.RP, RC.IM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ISO 22301; marcos sectoriales de continuidad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% activos detectados automáticamente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ID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ID.AM: inventario de activos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ENS (inventario de activos); ISO/IEC 27001 A.5, A.8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Nº activos huérfanos detectados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ID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ID.AM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Buenas prácticas de CMDB; ITIL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% proveedores críticos con cláusulas de ciberseguridad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GV.SC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GV.SC: gestión de riesgo de cadena de suministro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NIS2 (cadena de suministro); DORA; ISO/IEC 27036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Nº contratos críticos revisados/año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GV.SC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GV.SC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ENS (relaciones con terceros); marcos de SCRM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% objetivos de riesgo con KPIs definidos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GV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GV.RM, GV.RR: estrategia y gestión del riesgo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ISO/IEC 27001 cl. 6 (planificación); COSO ERM; ENS (gestión de riesgos)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Frecuencia de revisión de estrategia (años)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GV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GV.OV, GV.PO: supervisión y política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ISO/IEC 27001 cl. 9 (revisión por la dirección); ENS (revisión)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% repositorios de datos con propietario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ID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ID.IM: gestión de información; GV.OC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RGPD (responsables del tratamiento); ENS; ISO/IEC 27001 (propietarios de activos)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% plantilla con formación anual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PR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PR.AT: concienciación y formación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ENS (formación); ISO/IEC 27001 A.6; NIS2 (formación)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Tasa de clic en simulaciones de phishing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PR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PR.AT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Buenas prácticas en formación; marcos de concienciación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% incidentes gestionados según plan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RS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RS.PO, RS.CO, RS.AN: planificación y análisis de respuesta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ISO/IEC 27035; ENS (gestión de incidentes); NIS2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</w:pPr>
            <w:r>
              <w:t>Tiempo medio de contención (horas)</w:t>
            </w:r>
          </w:p>
        </w:tc>
        <w:tc>
          <w:tcPr>
            <w:tcW w:type="dxa" w:w="2340"/>
          </w:tcPr>
          <w:p>
            <w:pPr>
              <w:keepLines w:val="1"/>
            </w:pPr>
            <w:r>
              <w:t>RS</w:t>
            </w:r>
          </w:p>
        </w:tc>
        <w:tc>
          <w:tcPr>
            <w:tcW w:type="dxa" w:w="2340"/>
          </w:tcPr>
          <w:p>
            <w:pPr>
              <w:keepLines w:val="1"/>
            </w:pPr>
            <w:r>
              <w:t>RS.AN, RS.MI: mitigación y análisis</w:t>
            </w:r>
          </w:p>
        </w:tc>
        <w:tc>
          <w:tcPr>
            <w:tcW w:type="dxa" w:w="2340"/>
          </w:tcPr>
          <w:p>
            <w:pPr>
              <w:keepLines w:val="1"/>
            </w:pPr>
            <w:r>
              <w:t>ISO/IEC 27035; métricas de incidentes (ISO/IEC 27004)</w:t>
            </w:r>
          </w:p>
        </w:tc>
      </w:tr>
    </w:tbl>
    <w:p/>
    <w:sectPr w:rsidR="00FC693F" w:rsidRPr="0006063C" w:rsidSect="00034616">
      <w:headerReference w:type="default" r:id="rId9"/>
      <w:pgSz w:w="12240" w:h="15840"/>
      <w:pgMar w:top="216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drawing>
        <wp:inline xmlns:a="http://schemas.openxmlformats.org/drawingml/2006/main" xmlns:pic="http://schemas.openxmlformats.org/drawingml/2006/picture">
          <wp:extent cx="5943600" cy="310597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INCIBE+ULE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943600" cy="310597"/>
                  </a:xfrm>
                  <a:prstGeom prst="rect"/>
                </pic:spPr>
              </pic:pic>
            </a:graphicData>
          </a:graphic>
        </wp:inline>
      </w:drawing>
    </w:r>
  </w:p>
  <w:p>
    <w:pPr>
      <w:spacing w:after="120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