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para Excel – Cálculo de IGM y ROI de Ciberseguridad</w:t>
      </w:r>
    </w:p>
    <w:p>
      <w:r>
        <w:t>La siguiente descripción permite construir un libro de Excel con varias hojas para calcular:</w:t>
      </w:r>
    </w:p>
    <w:p>
      <w:pPr>
        <w:pStyle w:val="ListNumber"/>
        <w:keepLines w:val="1"/>
        <w:keepNext w:val="1"/>
        <w:widowControl w:val="1"/>
      </w:pPr>
      <w:r>
        <w:t xml:space="preserve">Índice Global de Madurez (IGM).  </w:t>
      </w:r>
    </w:p>
    <w:p>
      <w:pPr>
        <w:pStyle w:val="ListNumber"/>
        <w:keepLines w:val="1"/>
        <w:keepNext w:val="1"/>
        <w:widowControl w:val="1"/>
      </w:pPr>
      <w:r>
        <w:t xml:space="preserve">Índices de madurez por función CSF.  </w:t>
      </w:r>
    </w:p>
    <w:p>
      <w:pPr>
        <w:pStyle w:val="ListNumber"/>
        <w:keepLines w:val="1"/>
        <w:widowControl w:val="1"/>
      </w:pPr>
      <w:r>
        <w:t>Estimaciones básicas de ROI de ciberseguridad.</w:t>
      </w:r>
    </w:p>
    <w:p>
      <w:pPr>
        <w:pStyle w:val="Heading2"/>
        <w:keepNext/>
        <w:keepLines/>
      </w:pPr>
      <w:r>
        <w:rPr>
          <w:color w:val="0066CC"/>
        </w:rPr>
        <w:t>Hoja 1: Respuestas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A: ID Pregunta (p.ej., P-GV-01, P-ID-03, etc.)  </w:t>
      </w:r>
    </w:p>
    <w:p>
      <w:pPr>
        <w:pStyle w:val="ListBullet"/>
        <w:keepLines w:val="1"/>
        <w:keepNext w:val="1"/>
        <w:widowControl w:val="1"/>
      </w:pPr>
      <w:r>
        <w:t xml:space="preserve">B: Función CSF (GV, ID, PR, DE, RS, RC, SC, ME)  </w:t>
      </w:r>
    </w:p>
    <w:p>
      <w:pPr>
        <w:pStyle w:val="ListBullet"/>
        <w:keepLines w:val="1"/>
        <w:keepNext w:val="1"/>
        <w:widowControl w:val="1"/>
      </w:pPr>
      <w:r>
        <w:t xml:space="preserve">C: Descripción abreviada  </w:t>
      </w:r>
    </w:p>
    <w:p>
      <w:pPr>
        <w:pStyle w:val="ListBullet"/>
        <w:keepLines w:val="1"/>
        <w:widowControl w:val="1"/>
      </w:pPr>
      <w:r>
        <w:t xml:space="preserve">D: Valor de madurez (0–4)  </w:t>
      </w:r>
    </w:p>
    <w:p>
      <w:r>
        <w:t>Cada fila corresponde a una pregunta cerrada de la encuesta. El valor de la columna D se introduce manualmente o mediante listas desplegables.</w:t>
      </w:r>
    </w:p>
    <w:p>
      <w:pPr>
        <w:pStyle w:val="Heading2"/>
        <w:keepNext/>
        <w:keepLines/>
      </w:pPr>
      <w:r>
        <w:rPr>
          <w:color w:val="0066CC"/>
        </w:rPr>
        <w:t>Hoja 2: Madurez_CSFFunciones</w:t>
      </w:r>
    </w:p>
    <w:p>
      <w:r>
        <w:t>Objetivo: calcular la madurez media por función.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Función CSF (GV, ID, PR, DE, RS, RC, SC, ME)  </w:t>
      </w:r>
    </w:p>
    <w:p>
      <w:pPr>
        <w:pStyle w:val="ListBullet"/>
        <w:keepLines w:val="1"/>
        <w:keepNext w:val="1"/>
        <w:widowControl w:val="1"/>
      </w:pPr>
      <w:r>
        <w:t xml:space="preserve">B: Descripción (Gobernanza, Identificar, Proteger, Detectar, etc.)  </w:t>
      </w:r>
    </w:p>
    <w:p>
      <w:pPr>
        <w:pStyle w:val="ListBullet"/>
        <w:keepLines w:val="1"/>
        <w:widowControl w:val="1"/>
      </w:pPr>
      <w:r>
        <w:t xml:space="preserve">C: Madurez media (fórmula)  </w:t>
      </w:r>
    </w:p>
    <w:p>
      <w:r>
        <w:t>Ejemplo de fórmula para C2 (función = GV):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=PROMEDIO.SI(Respuestas!$B:$B;"GV";Respuestas!$D:$D)</w:t>
        <w:br/>
      </w:r>
    </w:p>
    <w:p>
      <w:r>
        <w:t>Repetir para el resto de funciones cambiando el criterio (“ID”, “PR”, etc.).</w:t>
      </w:r>
    </w:p>
    <w:p>
      <w:pPr>
        <w:pStyle w:val="Heading2"/>
        <w:keepNext/>
        <w:keepLines/>
      </w:pPr>
      <w:r>
        <w:rPr>
          <w:color w:val="0066CC"/>
        </w:rPr>
        <w:t>Hoja 3: IGM</w:t>
      </w:r>
    </w:p>
    <w:p>
      <w:r>
        <w:t>En esta hoja se resume el IGM y se asigna un nivel cualitativo.</w:t>
      </w:r>
    </w:p>
    <w:p>
      <w:r>
        <w:t>Campos recomendados:</w:t>
      </w:r>
    </w:p>
    <w:p>
      <w:pPr>
        <w:pStyle w:val="ListBullet"/>
        <w:keepLines w:val="1"/>
        <w:keepNext w:val="1"/>
        <w:widowControl w:val="1"/>
      </w:pPr>
      <w:r>
        <w:t xml:space="preserve">C2: GV_madurez (referencia a Madurez_CSFFunciones!C2)  </w:t>
      </w:r>
    </w:p>
    <w:p>
      <w:pPr>
        <w:pStyle w:val="ListBullet"/>
        <w:keepLines w:val="1"/>
        <w:keepNext w:val="1"/>
        <w:widowControl w:val="1"/>
      </w:pPr>
      <w:r>
        <w:t xml:space="preserve">C3: ID_madurez  </w:t>
      </w:r>
    </w:p>
    <w:p>
      <w:pPr>
        <w:pStyle w:val="ListBullet"/>
        <w:keepLines w:val="1"/>
        <w:keepNext w:val="1"/>
        <w:widowControl w:val="1"/>
      </w:pPr>
      <w:r>
        <w:t xml:space="preserve">C4: PR_madurez  </w:t>
      </w:r>
    </w:p>
    <w:p>
      <w:pPr>
        <w:pStyle w:val="ListBullet"/>
        <w:keepLines w:val="1"/>
        <w:keepNext w:val="1"/>
        <w:widowControl w:val="1"/>
      </w:pPr>
      <w:r>
        <w:t xml:space="preserve">C5: DE_madurez  </w:t>
      </w:r>
    </w:p>
    <w:p>
      <w:pPr>
        <w:pStyle w:val="ListBullet"/>
        <w:keepLines w:val="1"/>
        <w:keepNext w:val="1"/>
        <w:widowControl w:val="1"/>
      </w:pPr>
      <w:r>
        <w:t xml:space="preserve">C6: RS_madurez  </w:t>
      </w:r>
    </w:p>
    <w:p>
      <w:pPr>
        <w:pStyle w:val="ListBullet"/>
        <w:keepLines w:val="1"/>
        <w:keepNext w:val="1"/>
        <w:widowControl w:val="1"/>
      </w:pPr>
      <w:r>
        <w:t xml:space="preserve">C7: RC_madurez  </w:t>
      </w:r>
    </w:p>
    <w:p>
      <w:pPr>
        <w:pStyle w:val="ListBullet"/>
        <w:keepLines w:val="1"/>
        <w:keepNext w:val="1"/>
        <w:widowControl w:val="1"/>
      </w:pPr>
      <w:r>
        <w:t xml:space="preserve">C8: SC_madurez  </w:t>
      </w:r>
    </w:p>
    <w:p>
      <w:pPr>
        <w:pStyle w:val="ListBullet"/>
        <w:keepLines w:val="1"/>
        <w:widowControl w:val="1"/>
      </w:pPr>
      <w:r>
        <w:t xml:space="preserve">C9: ME_madurez  </w:t>
      </w:r>
    </w:p>
    <w:p>
      <w:r>
        <w:t>En C11: IGM global: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=PROMEDIO(C2:C9)</w:t>
        <w:br/>
      </w:r>
    </w:p>
    <w:p>
      <w:r>
        <w:t>En C12: Nivel cualitativo (usando BUSCARV o SI anidados), por 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=SI(C11&lt;1;"Nivel 1 - Inicial / ad hoc";</w:t>
        <w:br/>
        <w:t xml:space="preserve"> SI(C11&lt;2;"Nivel 2 - Básico / fragmentado";</w:t>
        <w:br/>
        <w:t xml:space="preserve"> SI(C11&lt;3;"Nivel 3 - Definido / en despliegue";</w:t>
        <w:br/>
        <w:t xml:space="preserve"> SI(C11&lt;3,5;"Nivel 4 - Gestionado / repetible";</w:t>
        <w:br/>
        <w:t xml:space="preserve"> "Nivel 5 - Optimizado / integrado"))))</w:t>
        <w:br/>
      </w:r>
    </w:p>
    <w:p>
      <w:r>
        <w:t>También se pueden insertar gráficos de radar o barras para visualizar las funciones CSF.</w:t>
      </w:r>
    </w:p>
    <w:p>
      <w:pPr>
        <w:pStyle w:val="Heading2"/>
        <w:keepNext/>
        <w:keepLines/>
      </w:pPr>
      <w:r>
        <w:rPr>
          <w:color w:val="0066CC"/>
        </w:rPr>
        <w:t>Hoja 4: ROI_Ciberseguridad</w:t>
      </w:r>
    </w:p>
    <w:p>
      <w:pPr>
        <w:pStyle w:val="Heading3"/>
        <w:keepNext/>
        <w:keepLines/>
      </w:pPr>
      <w:r>
        <w:t>4.1. Entradas de datos</w:t>
      </w:r>
    </w:p>
    <w:p>
      <w:r>
        <w:t>Campos sugeridos:</w:t>
      </w:r>
    </w:p>
    <w:p>
      <w:pPr>
        <w:pStyle w:val="ListBullet"/>
        <w:keepLines w:val="1"/>
        <w:keepNext w:val="1"/>
        <w:widowControl w:val="1"/>
      </w:pPr>
      <w:r>
        <w:t xml:space="preserve">C2: Costes anuales de ciberseguridad (OPEX + CAPEX)  </w:t>
      </w:r>
    </w:p>
    <w:p>
      <w:pPr>
        <w:pStyle w:val="ListBullet"/>
        <w:keepLines w:val="1"/>
        <w:keepNext w:val="1"/>
        <w:widowControl w:val="1"/>
      </w:pPr>
      <w:r>
        <w:t xml:space="preserve">C3: Costes iniciales de proyectos de mejora (CAPEX proyectos clave)  </w:t>
      </w:r>
    </w:p>
    <w:p>
      <w:pPr>
        <w:pStyle w:val="ListBullet"/>
        <w:keepLines w:val="1"/>
        <w:keepNext w:val="1"/>
        <w:widowControl w:val="1"/>
      </w:pPr>
      <w:r>
        <w:t xml:space="preserve">C4: Número de incidentes graves “antes” (periodo de referencia)  </w:t>
      </w:r>
    </w:p>
    <w:p>
      <w:pPr>
        <w:pStyle w:val="ListBullet"/>
        <w:keepLines w:val="1"/>
        <w:keepNext w:val="1"/>
        <w:widowControl w:val="1"/>
      </w:pPr>
      <w:r>
        <w:t xml:space="preserve">C5: Número de incidentes graves “después” (periodo actual)  </w:t>
      </w:r>
    </w:p>
    <w:p>
      <w:pPr>
        <w:pStyle w:val="ListBullet"/>
        <w:keepLines w:val="1"/>
        <w:keepNext w:val="1"/>
        <w:widowControl w:val="1"/>
      </w:pPr>
      <w:r>
        <w:t xml:space="preserve">C6: Coste medio estimado por incidente grave  </w:t>
      </w:r>
    </w:p>
    <w:p>
      <w:pPr>
        <w:pStyle w:val="ListBullet"/>
        <w:keepLines w:val="1"/>
        <w:keepNext w:val="1"/>
        <w:widowControl w:val="1"/>
      </w:pPr>
      <w:r>
        <w:t xml:space="preserve">C7: MTTD antes (en horas)  </w:t>
      </w:r>
    </w:p>
    <w:p>
      <w:pPr>
        <w:pStyle w:val="ListBullet"/>
        <w:keepLines w:val="1"/>
        <w:keepNext w:val="1"/>
        <w:widowControl w:val="1"/>
      </w:pPr>
      <w:r>
        <w:t xml:space="preserve">C8: MTTD después (en horas)  </w:t>
      </w:r>
    </w:p>
    <w:p>
      <w:pPr>
        <w:pStyle w:val="ListBullet"/>
        <w:keepLines w:val="1"/>
        <w:keepNext w:val="1"/>
        <w:widowControl w:val="1"/>
      </w:pPr>
      <w:r>
        <w:t xml:space="preserve">C9: MTTR antes (en horas)  </w:t>
      </w:r>
    </w:p>
    <w:p>
      <w:pPr>
        <w:pStyle w:val="ListBullet"/>
        <w:keepLines w:val="1"/>
        <w:keepNext w:val="1"/>
        <w:widowControl w:val="1"/>
      </w:pPr>
      <w:r>
        <w:t xml:space="preserve">C10: MTTR después (en horas)  </w:t>
      </w:r>
    </w:p>
    <w:p>
      <w:pPr>
        <w:pStyle w:val="ListBullet"/>
        <w:keepLines w:val="1"/>
        <w:widowControl w:val="1"/>
      </w:pPr>
      <w:r>
        <w:t xml:space="preserve">C11: Valor estimado por hora de indisponibilidad (impacto monetario)  </w:t>
      </w:r>
    </w:p>
    <w:p>
      <w:pPr>
        <w:pStyle w:val="Heading3"/>
        <w:keepNext/>
        <w:keepLines/>
      </w:pPr>
      <w:r>
        <w:t>4.2. Cálculos intermedios</w:t>
      </w:r>
    </w:p>
    <w:p>
      <w:r>
        <w:t>En C13: Reducción de incidentes: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=MAX(C4-C5;0)</w:t>
        <w:br/>
      </w:r>
    </w:p>
    <w:p>
      <w:r>
        <w:t>En C14: Beneficio por reducción de incidentes: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=C13*C6</w:t>
        <w:br/>
      </w:r>
    </w:p>
    <w:p>
      <w:r>
        <w:t>En C15: Reducción de MTTD (horas):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=MAX(C7-C8;0)</w:t>
        <w:br/>
      </w:r>
    </w:p>
    <w:p>
      <w:r>
        <w:t>En C16: Reducción de MTTR (horas):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=MAX(C9-C10;0)</w:t>
        <w:br/>
      </w:r>
    </w:p>
    <w:p>
      <w:r>
        <w:t>En C17: Ahorro por reducción de indisponibilidad: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=(C15+C16)*C11</w:t>
        <w:br/>
      </w:r>
    </w:p>
    <w:p>
      <w:r>
        <w:t>En C18: Otros beneficios monetizables (campo manual, opcional).</w:t>
      </w:r>
    </w:p>
    <w:p>
      <w:r>
        <w:t>En C19: Beneficio total estimado: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=C14+C17+C18</w:t>
        <w:br/>
      </w:r>
    </w:p>
    <w:p>
      <w:pPr>
        <w:pStyle w:val="Heading3"/>
        <w:keepNext/>
        <w:keepLines/>
      </w:pPr>
      <w:r>
        <w:t>4.3. Cálculo del ROI</w:t>
      </w:r>
    </w:p>
    <w:p>
      <w:r>
        <w:t>En C21: Coste total de ciberseguridad en el periodo: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=C2+C3</w:t>
        <w:br/>
      </w:r>
    </w:p>
    <w:p>
      <w:r>
        <w:t>En C22: ROI: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=SI(C21=0;"";(C19-C21)/C21)</w:t>
        <w:br/>
      </w:r>
    </w:p>
    <w:p>
      <w:r>
        <w:t xml:space="preserve">Formatear C22 como porcentaje.  </w:t>
      </w:r>
    </w:p>
    <w:p>
      <w:r>
        <w:t>Opcional: añadir campo C23 con texto interpretativo: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=SI(C22="";"N/D";</w:t>
        <w:br/>
        <w:t xml:space="preserve"> SI(C22&lt;0;"ROI negativo (costes &gt; beneficios estimados)";</w:t>
        <w:br/>
        <w:t xml:space="preserve"> SI(C22&lt;0,2;"ROI moderado";</w:t>
        <w:br/>
        <w:t xml:space="preserve"> SI(C22&lt;0,5;"ROI positivo";</w:t>
        <w:br/>
        <w:t xml:space="preserve"> "ROI muy positivo"))))</w:t>
        <w:br/>
      </w:r>
    </w:p>
    <w:p>
      <w:pPr>
        <w:pStyle w:val="Heading2"/>
        <w:keepNext/>
        <w:keepLines/>
      </w:pPr>
      <w:r>
        <w:rPr>
          <w:color w:val="0066CC"/>
        </w:rPr>
        <w:t>Hoja 5: Dashboard</w:t>
      </w:r>
    </w:p>
    <w:p>
      <w:r>
        <w:t>Construir un tablero visual con:</w:t>
      </w:r>
    </w:p>
    <w:p>
      <w:pPr>
        <w:pStyle w:val="ListBullet"/>
        <w:keepLines w:val="1"/>
        <w:keepNext w:val="1"/>
        <w:widowControl w:val="1"/>
      </w:pPr>
      <w:r>
        <w:t xml:space="preserve">Gráficos de barras para madurez por función CSF.  </w:t>
      </w:r>
    </w:p>
    <w:p>
      <w:pPr>
        <w:pStyle w:val="ListBullet"/>
        <w:keepLines w:val="1"/>
        <w:keepNext w:val="1"/>
        <w:widowControl w:val="1"/>
      </w:pPr>
      <w:r>
        <w:t xml:space="preserve">Indicador del IGM global y su nivel.  </w:t>
      </w:r>
    </w:p>
    <w:p>
      <w:pPr>
        <w:pStyle w:val="ListBullet"/>
        <w:keepLines w:val="1"/>
        <w:widowControl w:val="1"/>
      </w:pPr>
      <w:r>
        <w:t xml:space="preserve">Tarjetas con ROI, reducción de incidentes, reducción de tiempos MTTD/MTTR.  </w:t>
      </w:r>
    </w:p>
    <w:p>
      <w:r>
        <w:t>De este modo se facilita la reutilización directa para cuadros de mando ejecutivos y presentaciones.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