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(para PowerPoint)</w:t>
      </w:r>
    </w:p>
    <w:p>
      <w:pPr>
        <w:pStyle w:val="Heading2"/>
        <w:keepNext/>
        <w:keepLines/>
      </w:pPr>
      <w:r>
        <w:rPr>
          <w:color w:val="0066CC"/>
        </w:rPr>
        <w:t>Resultados de Encuesta NIST CSF 2.0 – Organización XYZ</w:t>
      </w:r>
    </w:p>
    <w:p>
      <w:r>
        <w:t>Esta plantilla está pensada como guion de presentación. Cada sección sugiere una o varias diapositivas.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“Estado de la Ciberseguridad y Madurez NIST CSF 2.0 – [Nombre Organización]”  </w:t>
      </w:r>
    </w:p>
    <w:p>
      <w:pPr>
        <w:pStyle w:val="ListBullet"/>
        <w:keepLines w:val="1"/>
        <w:keepNext w:val="1"/>
        <w:widowControl w:val="1"/>
      </w:pPr>
      <w:r>
        <w:t xml:space="preserve">Subtítulo: “Resultados de la encuesta de madurez y métricas”  </w:t>
      </w:r>
    </w:p>
    <w:p>
      <w:pPr>
        <w:pStyle w:val="ListBullet"/>
        <w:keepLines w:val="1"/>
        <w:widowControl w:val="1"/>
      </w:pPr>
      <w:r>
        <w:t>Fecha y responsable de la presentación.</w:t>
      </w:r>
    </w:p>
    <w:p>
      <w:pPr>
        <w:pStyle w:val="Heading2"/>
        <w:keepNext/>
        <w:keepLines/>
      </w:pPr>
      <w:r>
        <w:rPr>
          <w:color w:val="0066CC"/>
        </w:rPr>
        <w:t>Diapositiva 2 – Agenda</w:t>
      </w:r>
    </w:p>
    <w:p>
      <w:pPr>
        <w:pStyle w:val="ListBullet"/>
        <w:keepLines w:val="1"/>
        <w:keepNext w:val="1"/>
        <w:widowControl w:val="1"/>
      </w:pPr>
      <w:r>
        <w:t xml:space="preserve">Objetivo de la evaluación.  </w:t>
      </w:r>
    </w:p>
    <w:p>
      <w:pPr>
        <w:pStyle w:val="ListBullet"/>
        <w:keepLines w:val="1"/>
        <w:keepNext w:val="1"/>
        <w:widowControl w:val="1"/>
      </w:pPr>
      <w:r>
        <w:t xml:space="preserve">Metodología y marco de referencia.  </w:t>
      </w:r>
    </w:p>
    <w:p>
      <w:pPr>
        <w:pStyle w:val="ListBullet"/>
        <w:keepLines w:val="1"/>
        <w:keepNext w:val="1"/>
        <w:widowControl w:val="1"/>
      </w:pPr>
      <w:r>
        <w:t xml:space="preserve">Resultados globales (IGM).  </w:t>
      </w:r>
    </w:p>
    <w:p>
      <w:pPr>
        <w:pStyle w:val="ListBullet"/>
        <w:keepLines w:val="1"/>
        <w:keepNext w:val="1"/>
        <w:widowControl w:val="1"/>
      </w:pPr>
      <w:r>
        <w:t xml:space="preserve">Resultados por función CSF.  </w:t>
      </w:r>
    </w:p>
    <w:p>
      <w:pPr>
        <w:pStyle w:val="ListBullet"/>
        <w:keepLines w:val="1"/>
        <w:keepNext w:val="1"/>
        <w:widowControl w:val="1"/>
      </w:pPr>
      <w:r>
        <w:t xml:space="preserve">Hallazgos clave y brechas.  </w:t>
      </w:r>
    </w:p>
    <w:p>
      <w:pPr>
        <w:pStyle w:val="ListBullet"/>
        <w:keepLines w:val="1"/>
        <w:widowControl w:val="1"/>
      </w:pPr>
      <w:r>
        <w:t>Recomendaciones y próximos pasos.</w:t>
      </w:r>
    </w:p>
    <w:p>
      <w:pPr>
        <w:pStyle w:val="Heading2"/>
        <w:keepNext/>
        <w:keepLines/>
      </w:pPr>
      <w:r>
        <w:rPr>
          <w:color w:val="0066CC"/>
        </w:rPr>
        <w:t>Diapositiva 3 – Objetivo y alcance</w:t>
      </w:r>
    </w:p>
    <w:p>
      <w:pPr>
        <w:pStyle w:val="ListBullet"/>
        <w:keepLines w:val="1"/>
        <w:keepNext w:val="1"/>
        <w:widowControl w:val="1"/>
      </w:pPr>
      <w:r>
        <w:t xml:space="preserve">Texto breve explicando:  </w:t>
      </w:r>
    </w:p>
    <w:p>
      <w:pPr>
        <w:pStyle w:val="ListBullet"/>
        <w:keepLines w:val="1"/>
        <w:keepNext w:val="1"/>
        <w:widowControl w:val="1"/>
      </w:pPr>
      <w:r>
        <w:t xml:space="preserve">Que se ha aplicado una encuesta alineada con NIST CSF 2.0.  </w:t>
      </w:r>
    </w:p>
    <w:p>
      <w:pPr>
        <w:pStyle w:val="ListBullet"/>
        <w:keepLines w:val="1"/>
        <w:keepNext w:val="1"/>
        <w:widowControl w:val="1"/>
      </w:pPr>
      <w:r>
        <w:t xml:space="preserve">Que el foco está en madurez, métricas y capacidades clave.  </w:t>
      </w:r>
    </w:p>
    <w:p>
      <w:pPr>
        <w:pStyle w:val="ListBullet"/>
        <w:keepLines w:val="1"/>
        <w:widowControl w:val="1"/>
      </w:pPr>
      <w:r>
        <w:t>Alcance: ámbito organizativo, áreas incluidas, periodo.</w:t>
      </w:r>
    </w:p>
    <w:p>
      <w:pPr>
        <w:pStyle w:val="Heading2"/>
        <w:keepNext/>
        <w:keepLines/>
      </w:pPr>
      <w:r>
        <w:rPr>
          <w:color w:val="0066CC"/>
        </w:rPr>
        <w:t>Diapositiva 4 – Metodología</w:t>
      </w:r>
    </w:p>
    <w:p>
      <w:pPr>
        <w:pStyle w:val="ListBullet"/>
        <w:keepLines w:val="1"/>
        <w:keepNext w:val="1"/>
        <w:widowControl w:val="1"/>
      </w:pPr>
      <w:r>
        <w:t xml:space="preserve">Bullets:  </w:t>
      </w:r>
    </w:p>
    <w:p>
      <w:pPr>
        <w:pStyle w:val="ListBullet"/>
        <w:keepLines w:val="1"/>
        <w:keepNext w:val="1"/>
        <w:widowControl w:val="1"/>
      </w:pPr>
      <w:r>
        <w:t xml:space="preserve">Cuestionario estructurado según las funciones CSF (GV, ID, PR, DE, RS, RC, SC, ME).  </w:t>
      </w:r>
    </w:p>
    <w:p>
      <w:pPr>
        <w:pStyle w:val="ListBullet"/>
        <w:keepLines w:val="1"/>
        <w:keepNext w:val="1"/>
        <w:widowControl w:val="1"/>
      </w:pPr>
      <w:r>
        <w:t xml:space="preserve">Escala de madurez 0–4 mapeada a niveles cualitativos.  </w:t>
      </w:r>
    </w:p>
    <w:p>
      <w:pPr>
        <w:pStyle w:val="ListBullet"/>
        <w:keepLines w:val="1"/>
        <w:keepNext w:val="1"/>
        <w:widowControl w:val="1"/>
      </w:pPr>
      <w:r>
        <w:t xml:space="preserve">Cálculo de índices por función e índice global (IGM).  </w:t>
      </w:r>
    </w:p>
    <w:p>
      <w:pPr>
        <w:pStyle w:val="ListBullet"/>
        <w:keepLines w:val="1"/>
        <w:widowControl w:val="1"/>
      </w:pPr>
      <w:r>
        <w:t>Recolección de datos de costes e incidentes para estimar ROI (opcional).</w:t>
      </w:r>
    </w:p>
    <w:p>
      <w:pPr>
        <w:pStyle w:val="Heading2"/>
        <w:keepNext/>
        <w:keepLines/>
      </w:pPr>
      <w:r>
        <w:rPr>
          <w:color w:val="0066CC"/>
        </w:rPr>
        <w:t>Diapositiva 5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Gráfico:  </w:t>
      </w:r>
    </w:p>
    <w:p>
      <w:pPr>
        <w:pStyle w:val="ListBullet"/>
        <w:keepLines w:val="1"/>
        <w:keepNext w:val="1"/>
        <w:widowControl w:val="1"/>
      </w:pPr>
      <w:r>
        <w:t xml:space="preserve">Indicador tipo “termómetro” o “velocímetro” con IGM (0–4).  </w:t>
      </w:r>
    </w:p>
    <w:p>
      <w:pPr>
        <w:pStyle w:val="ListBullet"/>
        <w:keepLines w:val="1"/>
        <w:keepNext w:val="1"/>
        <w:widowControl w:val="1"/>
      </w:pPr>
      <w:r>
        <w:t xml:space="preserve">Texto de apoyo:  </w:t>
      </w:r>
    </w:p>
    <w:p>
      <w:pPr>
        <w:pStyle w:val="ListBullet"/>
        <w:keepLines w:val="1"/>
        <w:keepNext w:val="1"/>
        <w:widowControl w:val="1"/>
      </w:pPr>
      <w:r>
        <w:t xml:space="preserve">Nivel cualitativo (p.ej., “Nivel 3 – Definido / en despliegue”).  </w:t>
      </w:r>
    </w:p>
    <w:p>
      <w:pPr>
        <w:pStyle w:val="ListBullet"/>
        <w:keepLines w:val="1"/>
        <w:widowControl w:val="1"/>
      </w:pPr>
      <w:r>
        <w:t>Breve interpretación (2–3 frases).</w:t>
      </w:r>
    </w:p>
    <w:p>
      <w:pPr>
        <w:pStyle w:val="Heading2"/>
        <w:keepNext/>
        <w:keepLines/>
      </w:pPr>
      <w:r>
        <w:rPr>
          <w:color w:val="0066CC"/>
        </w:rPr>
        <w:t>Diapositiva 6 – Madurez por función CSF</w:t>
      </w:r>
    </w:p>
    <w:p>
      <w:pPr>
        <w:pStyle w:val="ListBullet"/>
        <w:keepLines w:val="1"/>
        <w:keepNext w:val="1"/>
        <w:widowControl w:val="1"/>
      </w:pPr>
      <w:r>
        <w:t xml:space="preserve">Gráfico de barras o radar con:  </w:t>
      </w:r>
    </w:p>
    <w:p>
      <w:pPr>
        <w:pStyle w:val="ListBullet"/>
        <w:keepLines w:val="1"/>
        <w:keepNext w:val="1"/>
        <w:widowControl w:val="1"/>
      </w:pPr>
      <w:r>
        <w:t xml:space="preserve">GV, ID, PR, DE, RS, RC, SC, ME.  </w:t>
      </w:r>
    </w:p>
    <w:p>
      <w:pPr>
        <w:pStyle w:val="ListBullet"/>
        <w:keepLines w:val="1"/>
        <w:keepNext w:val="1"/>
        <w:widowControl w:val="1"/>
      </w:pPr>
      <w:r>
        <w:t xml:space="preserve">Comentarios:  </w:t>
      </w:r>
    </w:p>
    <w:p>
      <w:pPr>
        <w:pStyle w:val="ListBullet"/>
        <w:keepLines w:val="1"/>
        <w:keepNext w:val="1"/>
        <w:widowControl w:val="1"/>
      </w:pPr>
      <w:r>
        <w:t xml:space="preserve">Funciones más fuertes.  </w:t>
      </w:r>
    </w:p>
    <w:p>
      <w:pPr>
        <w:pStyle w:val="ListBullet"/>
        <w:keepLines w:val="1"/>
        <w:widowControl w:val="1"/>
      </w:pPr>
      <w:r>
        <w:t xml:space="preserve">Funciones más débiles.  </w:t>
      </w:r>
    </w:p>
    <w:p>
      <w:pPr>
        <w:pStyle w:val="Heading2"/>
        <w:keepNext/>
        <w:keepLines/>
      </w:pPr>
      <w:r>
        <w:rPr>
          <w:color w:val="0066CC"/>
        </w:rPr>
        <w:t>Diapositiva 7 – Detalle de GOVERN (GV)</w:t>
      </w:r>
    </w:p>
    <w:p>
      <w:pPr>
        <w:pStyle w:val="ListBullet"/>
        <w:keepLines w:val="1"/>
        <w:keepNext w:val="1"/>
        <w:widowControl w:val="1"/>
      </w:pPr>
      <w:r>
        <w:t xml:space="preserve">Resumen de puntuaciones GV.  </w:t>
      </w:r>
    </w:p>
    <w:p>
      <w:pPr>
        <w:pStyle w:val="ListBullet"/>
        <w:keepLines w:val="1"/>
        <w:keepNext w:val="1"/>
        <w:widowControl w:val="1"/>
      </w:pPr>
      <w:r>
        <w:t xml:space="preserve">2–3 bullets:  </w:t>
      </w:r>
    </w:p>
    <w:p>
      <w:pPr>
        <w:pStyle w:val="ListBullet"/>
        <w:keepLines w:val="1"/>
        <w:keepNext w:val="1"/>
        <w:widowControl w:val="1"/>
      </w:pPr>
      <w:r>
        <w:t xml:space="preserve">Existencia de estrategia formal y su revisión.  </w:t>
      </w:r>
    </w:p>
    <w:p>
      <w:pPr>
        <w:pStyle w:val="ListBullet"/>
        <w:keepLines w:val="1"/>
        <w:keepNext w:val="1"/>
        <w:widowControl w:val="1"/>
      </w:pPr>
      <w:r>
        <w:t xml:space="preserve">Nivel de definición de apetito de riesgo.  </w:t>
      </w:r>
    </w:p>
    <w:p>
      <w:pPr>
        <w:pStyle w:val="ListBullet"/>
        <w:keepLines w:val="1"/>
        <w:keepNext w:val="1"/>
        <w:widowControl w:val="1"/>
      </w:pPr>
      <w:r>
        <w:t xml:space="preserve">Calidad del reporting a la alta dirección.  </w:t>
      </w:r>
    </w:p>
    <w:p>
      <w:pPr>
        <w:pStyle w:val="ListBullet"/>
        <w:keepLines w:val="1"/>
        <w:keepNext w:val="1"/>
        <w:widowControl w:val="1"/>
      </w:pPr>
      <w:r>
        <w:t xml:space="preserve">Mensaje clave:  </w:t>
      </w:r>
    </w:p>
    <w:p>
      <w:pPr>
        <w:pStyle w:val="ListBullet"/>
        <w:keepLines w:val="1"/>
        <w:widowControl w:val="1"/>
      </w:pPr>
      <w:r>
        <w:t>¿La ciberseguridad está gobernada o tolerada?</w:t>
      </w:r>
    </w:p>
    <w:p>
      <w:pPr>
        <w:pStyle w:val="Heading2"/>
        <w:keepNext/>
        <w:keepLines/>
      </w:pPr>
      <w:r>
        <w:rPr>
          <w:color w:val="0066CC"/>
        </w:rPr>
        <w:t>Diapositiva 8 – Detalle de IDENTIFY (ID)</w:t>
      </w:r>
    </w:p>
    <w:p>
      <w:pPr>
        <w:pStyle w:val="ListBullet"/>
        <w:keepLines w:val="1"/>
        <w:keepNext w:val="1"/>
        <w:widowControl w:val="1"/>
      </w:pPr>
      <w:r>
        <w:t xml:space="preserve">Resumen de puntuaciones ID.  </w:t>
      </w:r>
    </w:p>
    <w:p>
      <w:pPr>
        <w:pStyle w:val="ListBullet"/>
        <w:keepLines w:val="1"/>
        <w:keepNext w:val="1"/>
        <w:widowControl w:val="1"/>
      </w:pPr>
      <w:r>
        <w:t xml:space="preserve">Aspectos a destacar:  </w:t>
      </w:r>
    </w:p>
    <w:p>
      <w:pPr>
        <w:pStyle w:val="ListBullet"/>
        <w:keepLines w:val="1"/>
        <w:keepNext w:val="1"/>
        <w:widowControl w:val="1"/>
      </w:pPr>
      <w:r>
        <w:t xml:space="preserve">Inventario de activos (IT/OT/nube).  </w:t>
      </w:r>
    </w:p>
    <w:p>
      <w:pPr>
        <w:pStyle w:val="ListBullet"/>
        <w:keepLines w:val="1"/>
        <w:keepNext w:val="1"/>
        <w:widowControl w:val="1"/>
      </w:pPr>
      <w:r>
        <w:t xml:space="preserve">Clasificación de datos y propietarios.  </w:t>
      </w:r>
    </w:p>
    <w:p>
      <w:pPr>
        <w:pStyle w:val="ListBullet"/>
        <w:keepLines w:val="1"/>
        <w:widowControl w:val="1"/>
      </w:pPr>
      <w:r>
        <w:t xml:space="preserve">Metodología y periodicidad de análisis de riesgos.  </w:t>
      </w:r>
    </w:p>
    <w:p>
      <w:pPr>
        <w:pStyle w:val="Heading2"/>
        <w:keepNext/>
        <w:keepLines/>
      </w:pPr>
      <w:r>
        <w:rPr>
          <w:color w:val="0066CC"/>
        </w:rPr>
        <w:t>Diapositiva 9 – Detalle de PROTECT (PR)</w:t>
      </w:r>
    </w:p>
    <w:p>
      <w:pPr>
        <w:pStyle w:val="ListBullet"/>
        <w:keepLines w:val="1"/>
        <w:keepNext w:val="1"/>
        <w:widowControl w:val="1"/>
      </w:pPr>
      <w:r>
        <w:t xml:space="preserve">Puntuaciones PR.  </w:t>
      </w:r>
    </w:p>
    <w:p>
      <w:pPr>
        <w:pStyle w:val="ListBullet"/>
        <w:keepLines w:val="1"/>
        <w:keepNext w:val="1"/>
        <w:widowControl w:val="1"/>
      </w:pPr>
      <w:r>
        <w:t xml:space="preserve">Comentarios sobre:  </w:t>
      </w:r>
    </w:p>
    <w:p>
      <w:pPr>
        <w:pStyle w:val="ListBullet"/>
        <w:keepLines w:val="1"/>
        <w:keepNext w:val="1"/>
        <w:widowControl w:val="1"/>
      </w:pPr>
      <w:r>
        <w:t xml:space="preserve">Gestión de identidades y accesos (MFA, ciclo de vida).  </w:t>
      </w:r>
    </w:p>
    <w:p>
      <w:pPr>
        <w:pStyle w:val="ListBullet"/>
        <w:keepLines w:val="1"/>
        <w:keepNext w:val="1"/>
        <w:widowControl w:val="1"/>
      </w:pPr>
      <w:r>
        <w:t xml:space="preserve">Concienciación y cultura de seguridad.  </w:t>
      </w:r>
    </w:p>
    <w:p>
      <w:pPr>
        <w:pStyle w:val="ListBullet"/>
        <w:keepLines w:val="1"/>
        <w:widowControl w:val="1"/>
      </w:pPr>
      <w:r>
        <w:t>Protección de datos sensibles y gestión de parches.</w:t>
      </w:r>
    </w:p>
    <w:p>
      <w:pPr>
        <w:pStyle w:val="Heading2"/>
        <w:keepNext/>
        <w:keepLines/>
      </w:pPr>
      <w:r>
        <w:rPr>
          <w:color w:val="0066CC"/>
        </w:rPr>
        <w:t>Diapositiva 10 – Detalle de DETECT (DE) y RESPOND (RS)</w:t>
      </w:r>
    </w:p>
    <w:p>
      <w:pPr>
        <w:pStyle w:val="ListBullet"/>
        <w:keepLines w:val="1"/>
        <w:keepNext w:val="1"/>
        <w:widowControl w:val="1"/>
      </w:pPr>
      <w:r>
        <w:t xml:space="preserve">Puntuaciones DE y RS en un mismo gráfico.  </w:t>
      </w:r>
    </w:p>
    <w:p>
      <w:pPr>
        <w:pStyle w:val="ListBullet"/>
        <w:keepLines w:val="1"/>
        <w:keepNext w:val="1"/>
        <w:widowControl w:val="1"/>
      </w:pPr>
      <w:r>
        <w:t xml:space="preserve">Mensajes clave:  </w:t>
      </w:r>
    </w:p>
    <w:p>
      <w:pPr>
        <w:pStyle w:val="ListBullet"/>
        <w:keepLines w:val="1"/>
        <w:keepNext w:val="1"/>
        <w:widowControl w:val="1"/>
      </w:pPr>
      <w:r>
        <w:t xml:space="preserve">Cobertura de monitorización y uso de inteligencia de amenazas.  </w:t>
      </w:r>
    </w:p>
    <w:p>
      <w:pPr>
        <w:pStyle w:val="ListBullet"/>
        <w:keepLines w:val="1"/>
        <w:keepNext w:val="1"/>
        <w:widowControl w:val="1"/>
      </w:pPr>
      <w:r>
        <w:t xml:space="preserve">Capacidad de medir MTTD y tiempo de contención.  </w:t>
      </w:r>
    </w:p>
    <w:p>
      <w:pPr>
        <w:pStyle w:val="ListBullet"/>
        <w:keepLines w:val="1"/>
        <w:widowControl w:val="1"/>
      </w:pPr>
      <w:r>
        <w:t>Existencia y práctica de planes de respuesta.</w:t>
      </w:r>
    </w:p>
    <w:p>
      <w:pPr>
        <w:pStyle w:val="Heading2"/>
        <w:keepNext/>
        <w:keepLines/>
      </w:pPr>
      <w:r>
        <w:rPr>
          <w:color w:val="0066CC"/>
        </w:rPr>
        <w:t>Diapositiva 11 – Detalle de RECOVER (RC)</w:t>
      </w:r>
    </w:p>
    <w:p>
      <w:pPr>
        <w:pStyle w:val="ListBullet"/>
        <w:keepLines w:val="1"/>
        <w:keepNext w:val="1"/>
        <w:widowControl w:val="1"/>
      </w:pPr>
      <w:r>
        <w:t xml:space="preserve">Puntuaciones RC.  </w:t>
      </w:r>
    </w:p>
    <w:p>
      <w:pPr>
        <w:pStyle w:val="ListBullet"/>
        <w:keepLines w:val="1"/>
        <w:keepNext w:val="1"/>
        <w:widowControl w:val="1"/>
      </w:pPr>
      <w:r>
        <w:t xml:space="preserve">Comentarios:  </w:t>
      </w:r>
    </w:p>
    <w:p>
      <w:pPr>
        <w:pStyle w:val="ListBullet"/>
        <w:keepLines w:val="1"/>
        <w:keepNext w:val="1"/>
        <w:widowControl w:val="1"/>
      </w:pPr>
      <w:r>
        <w:t xml:space="preserve">Definición de RTO/RPO.  </w:t>
      </w:r>
    </w:p>
    <w:p>
      <w:pPr>
        <w:pStyle w:val="ListBullet"/>
        <w:keepLines w:val="1"/>
        <w:keepNext w:val="1"/>
        <w:widowControl w:val="1"/>
      </w:pPr>
      <w:r>
        <w:t xml:space="preserve">Pruebas de continuidad y recuperación.  </w:t>
      </w:r>
    </w:p>
    <w:p>
      <w:pPr>
        <w:pStyle w:val="ListBullet"/>
        <w:keepLines w:val="1"/>
        <w:widowControl w:val="1"/>
      </w:pPr>
      <w:r>
        <w:t>Grado de cumplimiento en ejercicios recientes.</w:t>
      </w:r>
    </w:p>
    <w:p>
      <w:pPr>
        <w:pStyle w:val="Heading2"/>
        <w:keepNext/>
        <w:keepLines/>
      </w:pPr>
      <w:r>
        <w:rPr>
          <w:color w:val="0066CC"/>
        </w:rPr>
        <w:t>Diapositiva 12 – Cadena de suministro (SC)</w:t>
      </w:r>
    </w:p>
    <w:p>
      <w:pPr>
        <w:pStyle w:val="ListBullet"/>
        <w:keepLines w:val="1"/>
        <w:keepNext w:val="1"/>
        <w:widowControl w:val="1"/>
      </w:pPr>
      <w:r>
        <w:t xml:space="preserve">Puntuaciones SC.  </w:t>
      </w:r>
    </w:p>
    <w:p>
      <w:pPr>
        <w:pStyle w:val="ListBullet"/>
        <w:keepLines w:val="1"/>
        <w:keepNext w:val="1"/>
        <w:widowControl w:val="1"/>
      </w:pPr>
      <w:r>
        <w:t xml:space="preserve">Bullets:  </w:t>
      </w:r>
    </w:p>
    <w:p>
      <w:pPr>
        <w:pStyle w:val="ListBullet"/>
        <w:keepLines w:val="1"/>
        <w:keepNext w:val="1"/>
        <w:widowControl w:val="1"/>
      </w:pPr>
      <w:r>
        <w:t xml:space="preserve">Inventario y clasificación de proveedores críticos.  </w:t>
      </w:r>
    </w:p>
    <w:p>
      <w:pPr>
        <w:pStyle w:val="ListBullet"/>
        <w:keepLines w:val="1"/>
        <w:keepNext w:val="1"/>
        <w:widowControl w:val="1"/>
      </w:pPr>
      <w:r>
        <w:t xml:space="preserve">Cláusulas de seguridad en contratos.  </w:t>
      </w:r>
    </w:p>
    <w:p>
      <w:pPr>
        <w:pStyle w:val="ListBullet"/>
        <w:keepLines w:val="1"/>
        <w:widowControl w:val="1"/>
      </w:pPr>
      <w:r>
        <w:t xml:space="preserve">Evaluaciones periódicas de proveedores.  </w:t>
      </w:r>
    </w:p>
    <w:p>
      <w:pPr>
        <w:pStyle w:val="Heading2"/>
        <w:keepNext/>
        <w:keepLines/>
      </w:pPr>
      <w:r>
        <w:rPr>
          <w:color w:val="0066CC"/>
        </w:rPr>
        <w:t>Diapositiva 13 – Métricas, cuadros de mando y ROI</w:t>
      </w:r>
    </w:p>
    <w:p>
      <w:pPr>
        <w:pStyle w:val="ListBullet"/>
        <w:keepLines w:val="1"/>
        <w:keepNext w:val="1"/>
        <w:widowControl w:val="1"/>
      </w:pPr>
      <w:r>
        <w:t xml:space="preserve">Puntuaciones ME.  </w:t>
      </w:r>
    </w:p>
    <w:p>
      <w:pPr>
        <w:pStyle w:val="ListBullet"/>
        <w:keepLines w:val="1"/>
        <w:keepNext w:val="1"/>
        <w:widowControl w:val="1"/>
      </w:pPr>
      <w:r>
        <w:t xml:space="preserve">Aspectos:  </w:t>
      </w:r>
    </w:p>
    <w:p>
      <w:pPr>
        <w:pStyle w:val="ListBullet"/>
        <w:keepLines w:val="1"/>
        <w:keepNext w:val="1"/>
        <w:widowControl w:val="1"/>
      </w:pPr>
      <w:r>
        <w:t xml:space="preserve">Existencia de cuadro de mando de ciberseguridad.  </w:t>
      </w:r>
    </w:p>
    <w:p>
      <w:pPr>
        <w:pStyle w:val="ListBullet"/>
        <w:keepLines w:val="1"/>
        <w:keepNext w:val="1"/>
        <w:widowControl w:val="1"/>
      </w:pPr>
      <w:r>
        <w:t xml:space="preserve">Uso de índices de madurez.  </w:t>
      </w:r>
    </w:p>
    <w:p>
      <w:pPr>
        <w:pStyle w:val="ListBullet"/>
        <w:keepLines w:val="1"/>
        <w:widowControl w:val="1"/>
      </w:pPr>
      <w:r>
        <w:t xml:space="preserve">Estimación de ROI de proyectos de ciberseguridad.  </w:t>
      </w:r>
    </w:p>
    <w:p>
      <w:pPr>
        <w:pStyle w:val="Heading2"/>
        <w:keepNext/>
        <w:keepLines/>
      </w:pPr>
      <w:r>
        <w:rPr>
          <w:color w:val="0066CC"/>
        </w:rPr>
        <w:t>Diapositiva 14 – Estimaciones de ROI (opcional)</w:t>
      </w:r>
    </w:p>
    <w:p>
      <w:pPr>
        <w:pStyle w:val="ListBullet"/>
        <w:keepLines w:val="1"/>
        <w:keepNext w:val="1"/>
        <w:widowControl w:val="1"/>
      </w:pPr>
      <w:r>
        <w:t xml:space="preserve">Tabla o gráfico:  </w:t>
      </w:r>
    </w:p>
    <w:p>
      <w:pPr>
        <w:pStyle w:val="ListBullet"/>
        <w:keepLines w:val="1"/>
        <w:keepNext w:val="1"/>
        <w:widowControl w:val="1"/>
      </w:pPr>
      <w:r>
        <w:t xml:space="preserve">Inversión anual en ciberseguridad.  </w:t>
      </w:r>
    </w:p>
    <w:p>
      <w:pPr>
        <w:pStyle w:val="ListBullet"/>
        <w:keepLines w:val="1"/>
        <w:keepNext w:val="1"/>
        <w:widowControl w:val="1"/>
      </w:pPr>
      <w:r>
        <w:t xml:space="preserve">Reducción de incidentes graves.  </w:t>
      </w:r>
    </w:p>
    <w:p>
      <w:pPr>
        <w:pStyle w:val="ListBullet"/>
        <w:keepLines w:val="1"/>
        <w:keepNext w:val="1"/>
        <w:widowControl w:val="1"/>
      </w:pPr>
      <w:r>
        <w:t xml:space="preserve">Reducción de MTTD/MTTR.  </w:t>
      </w:r>
    </w:p>
    <w:p>
      <w:pPr>
        <w:pStyle w:val="ListBullet"/>
        <w:keepLines w:val="1"/>
        <w:widowControl w:val="1"/>
      </w:pPr>
      <w:r>
        <w:t xml:space="preserve">ROI aproximado (si se ha calculado).  </w:t>
      </w:r>
    </w:p>
    <w:p>
      <w:pPr>
        <w:pStyle w:val="Heading2"/>
        <w:keepNext/>
        <w:keepLines/>
      </w:pPr>
      <w:r>
        <w:rPr>
          <w:color w:val="0066CC"/>
        </w:rPr>
        <w:t>Diapositiva 15 – Principales brechas y riesgos</w:t>
      </w:r>
    </w:p>
    <w:p>
      <w:pPr>
        <w:pStyle w:val="ListBullet"/>
        <w:keepLines w:val="1"/>
        <w:keepNext w:val="1"/>
        <w:widowControl w:val="1"/>
      </w:pPr>
      <w:r>
        <w:t xml:space="preserve">Lista priorizada (Top 5):  </w:t>
      </w:r>
    </w:p>
    <w:p>
      <w:pPr>
        <w:pStyle w:val="ListBullet"/>
        <w:keepLines w:val="1"/>
        <w:keepNext w:val="1"/>
        <w:widowControl w:val="1"/>
      </w:pPr>
      <w:r>
        <w:t xml:space="preserve">Brecha 1 – Descripción breve + impacto.  </w:t>
      </w:r>
    </w:p>
    <w:p>
      <w:pPr>
        <w:pStyle w:val="ListBullet"/>
        <w:keepLines w:val="1"/>
        <w:keepNext w:val="1"/>
        <w:widowControl w:val="1"/>
      </w:pPr>
      <w:r>
        <w:t xml:space="preserve">Brecha 2 – Descripción breve + impacto.  </w:t>
      </w:r>
    </w:p>
    <w:p>
      <w:pPr>
        <w:pStyle w:val="ListBullet"/>
        <w:keepLines w:val="1"/>
        <w:widowControl w:val="1"/>
      </w:pPr>
      <w:r>
        <w:t xml:space="preserve">Etc.  </w:t>
      </w:r>
    </w:p>
    <w:p>
      <w:pPr>
        <w:pStyle w:val="Heading2"/>
        <w:keepNext/>
        <w:keepLines/>
      </w:pPr>
      <w:r>
        <w:rPr>
          <w:color w:val="0066CC"/>
        </w:rPr>
        <w:t>Diapositiva 16 – Recomendaciones priorizadas</w:t>
      </w:r>
    </w:p>
    <w:p>
      <w:pPr>
        <w:pStyle w:val="ListBullet"/>
        <w:keepLines w:val="1"/>
        <w:keepNext w:val="1"/>
        <w:widowControl w:val="1"/>
      </w:pPr>
      <w:r>
        <w:t xml:space="preserve">Tabla o lista:  </w:t>
      </w:r>
    </w:p>
    <w:p>
      <w:pPr>
        <w:pStyle w:val="ListBullet"/>
        <w:keepLines w:val="1"/>
        <w:keepNext w:val="1"/>
        <w:widowControl w:val="1"/>
      </w:pPr>
      <w:r>
        <w:t xml:space="preserve">Acción 1 – Descripción + función CSF asociada + plazo.  </w:t>
      </w:r>
    </w:p>
    <w:p>
      <w:pPr>
        <w:pStyle w:val="ListBullet"/>
        <w:keepLines w:val="1"/>
        <w:keepNext w:val="1"/>
        <w:widowControl w:val="1"/>
      </w:pPr>
      <w:r>
        <w:t xml:space="preserve">Acción 2 – Descripción + función CSF asociada + plazo.  </w:t>
      </w:r>
    </w:p>
    <w:p>
      <w:pPr>
        <w:pStyle w:val="ListBullet"/>
        <w:keepLines w:val="1"/>
        <w:widowControl w:val="1"/>
      </w:pPr>
      <w:r>
        <w:t xml:space="preserve">Etc.  </w:t>
      </w:r>
    </w:p>
    <w:p>
      <w:pPr>
        <w:pStyle w:val="Heading2"/>
        <w:keepNext/>
        <w:keepLines/>
      </w:pPr>
      <w:r>
        <w:rPr>
          <w:color w:val="0066CC"/>
        </w:rPr>
        <w:t>Diapositiva 17 – Roadmap de mejora</w:t>
      </w:r>
    </w:p>
    <w:p>
      <w:pPr>
        <w:pStyle w:val="ListBullet"/>
        <w:keepLines w:val="1"/>
        <w:keepNext w:val="1"/>
        <w:widowControl w:val="1"/>
      </w:pPr>
      <w:r>
        <w:t xml:space="preserve">Gráfico de roadmap (12–24 meses):  </w:t>
      </w:r>
    </w:p>
    <w:p>
      <w:pPr>
        <w:pStyle w:val="ListBullet"/>
        <w:keepLines w:val="1"/>
        <w:keepNext w:val="1"/>
        <w:widowControl w:val="1"/>
      </w:pPr>
      <w:r>
        <w:t xml:space="preserve">Hitos clave por trimestre.  </w:t>
      </w:r>
    </w:p>
    <w:p>
      <w:pPr>
        <w:pStyle w:val="ListBullet"/>
        <w:keepLines w:val="1"/>
        <w:widowControl w:val="1"/>
      </w:pPr>
      <w:r>
        <w:t xml:space="preserve">Enlace a funciones CSF relevantes.  </w:t>
      </w:r>
    </w:p>
    <w:p>
      <w:pPr>
        <w:pStyle w:val="Heading2"/>
        <w:keepNext/>
        <w:keepLines/>
      </w:pPr>
      <w:r>
        <w:rPr>
          <w:color w:val="0066CC"/>
        </w:rPr>
        <w:t>Diapositiva 18 – Cierre</w:t>
      </w:r>
    </w:p>
    <w:p>
      <w:pPr>
        <w:pStyle w:val="ListBullet"/>
        <w:keepLines w:val="1"/>
        <w:keepNext w:val="1"/>
        <w:widowControl w:val="1"/>
      </w:pPr>
      <w:r>
        <w:t xml:space="preserve">Mensaje final:  </w:t>
      </w:r>
    </w:p>
    <w:p>
      <w:pPr>
        <w:pStyle w:val="ListBullet"/>
        <w:keepLines w:val="1"/>
        <w:keepNext w:val="1"/>
        <w:widowControl w:val="1"/>
      </w:pPr>
      <w:r>
        <w:t xml:space="preserve">Resumen de puntos fuertes.  </w:t>
      </w:r>
    </w:p>
    <w:p>
      <w:pPr>
        <w:pStyle w:val="ListBullet"/>
        <w:keepLines w:val="1"/>
        <w:keepNext w:val="1"/>
        <w:widowControl w:val="1"/>
      </w:pPr>
      <w:r>
        <w:t xml:space="preserve">Propuesta de enfoque: “pocas cosas, importantes, bien hechas”.  </w:t>
      </w:r>
    </w:p>
    <w:p>
      <w:pPr>
        <w:pStyle w:val="ListBullet"/>
        <w:keepLines w:val="1"/>
        <w:widowControl w:val="1"/>
      </w:pPr>
      <w:r>
        <w:t>Contacto del responsable de seguimiento.</w:t>
      </w:r>
    </w:p>
    <w:p>
      <w:r>
        <w:t>Esta plantilla puede adaptarse con el logo corporativo, colores de marca y nivel de detalle deseado por el comité de dirección.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