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GQM + PRAGMATIC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"Indicadores NIST CSF 2.0: de los objetivos a las métricas".  </w:t>
      </w:r>
    </w:p>
    <w:p>
      <w:pPr>
        <w:pStyle w:val="ListBullet"/>
        <w:keepLines w:val="1"/>
        <w:keepNext w:val="1"/>
        <w:widowControl w:val="1"/>
      </w:pPr>
      <w:r>
        <w:t xml:space="preserve">Subtítulo: "Enfoque GQM + PRAGMATIC para [Organización / País]".  </w:t>
      </w:r>
    </w:p>
    <w:p>
      <w:pPr>
        <w:pStyle w:val="ListBullet"/>
        <w:keepLines w:val="1"/>
        <w:widowControl w:val="1"/>
      </w:pPr>
      <w:r>
        <w:t>Fecha, ponente, área responsable.</w:t>
      </w:r>
    </w:p>
    <w:p>
      <w:pPr>
        <w:pStyle w:val="Heading2"/>
        <w:keepNext/>
        <w:keepLines/>
      </w:pPr>
      <w:r>
        <w:rPr>
          <w:color w:val="0066CC"/>
        </w:rPr>
        <w:t>Diapositiva 2 – Mensaje clave</w:t>
      </w:r>
    </w:p>
    <w:p>
      <w:pPr>
        <w:pStyle w:val="ListBullet"/>
        <w:keepLines w:val="1"/>
        <w:keepNext w:val="1"/>
        <w:widowControl w:val="1"/>
      </w:pPr>
      <w:r>
        <w:t xml:space="preserve">Frase central: "Medir para gobernar, no solo para cumplir".  </w:t>
      </w:r>
    </w:p>
    <w:p>
      <w:pPr>
        <w:pStyle w:val="ListBullet"/>
        <w:keepLines w:val="1"/>
        <w:keepNext w:val="1"/>
        <w:widowControl w:val="1"/>
      </w:pPr>
      <w:r>
        <w:t xml:space="preserve">Bullets breves:  </w:t>
      </w:r>
    </w:p>
    <w:p>
      <w:pPr>
        <w:pStyle w:val="ListBullet"/>
        <w:keepLines w:val="1"/>
        <w:keepNext w:val="1"/>
        <w:widowControl w:val="1"/>
      </w:pPr>
      <w:r>
        <w:t xml:space="preserve">NIST CSF 2.0 como marco de referencia.  </w:t>
      </w:r>
    </w:p>
    <w:p>
      <w:pPr>
        <w:pStyle w:val="ListBullet"/>
        <w:keepLines w:val="1"/>
        <w:keepNext w:val="1"/>
        <w:widowControl w:val="1"/>
      </w:pPr>
      <w:r>
        <w:t xml:space="preserve">GQM para conectar objetivos con métricas.  </w:t>
      </w:r>
    </w:p>
    <w:p>
      <w:pPr>
        <w:pStyle w:val="ListBullet"/>
        <w:keepLines w:val="1"/>
        <w:widowControl w:val="1"/>
      </w:pPr>
      <w:r>
        <w:t>PRAGMATIC para seleccionar métricas útiles.</w:t>
      </w:r>
    </w:p>
    <w:p>
      <w:pPr>
        <w:pStyle w:val="Heading2"/>
        <w:keepNext/>
        <w:keepLines/>
      </w:pPr>
      <w:r>
        <w:rPr>
          <w:color w:val="0066CC"/>
        </w:rPr>
        <w:t>Diapositiva 3 – De NIST CSF a GQM</w:t>
      </w:r>
    </w:p>
    <w:p>
      <w:pPr>
        <w:pStyle w:val="ListBullet"/>
        <w:keepLines w:val="1"/>
        <w:keepNext w:val="1"/>
        <w:widowControl w:val="1"/>
      </w:pPr>
      <w:r>
        <w:t xml:space="preserve">Esquema visual:  </w:t>
      </w:r>
    </w:p>
    <w:p>
      <w:pPr>
        <w:pStyle w:val="ListBullet"/>
        <w:keepLines w:val="1"/>
        <w:keepNext w:val="1"/>
        <w:widowControl w:val="1"/>
      </w:pPr>
      <w:r>
        <w:t xml:space="preserve">Objetivos estratégicos → Funciones CSF → Goals → Questions → Metrics.  </w:t>
      </w:r>
    </w:p>
    <w:p>
      <w:pPr>
        <w:pStyle w:val="ListBullet"/>
        <w:keepLines w:val="1"/>
        <w:widowControl w:val="1"/>
      </w:pPr>
      <w:r>
        <w:t>Nota: trazabilidad desde el Consejo hasta los datos técnicos.</w:t>
      </w:r>
    </w:p>
    <w:p>
      <w:pPr>
        <w:pStyle w:val="Heading2"/>
        <w:keepNext/>
        <w:keepLines/>
      </w:pPr>
      <w:r>
        <w:rPr>
          <w:color w:val="0066CC"/>
        </w:rPr>
        <w:t>Diapositiva 4 – Qué es PRAGMATIC</w:t>
      </w:r>
    </w:p>
    <w:p>
      <w:pPr>
        <w:pStyle w:val="ListBullet"/>
        <w:keepLines w:val="1"/>
        <w:keepNext w:val="1"/>
        <w:widowControl w:val="1"/>
      </w:pPr>
      <w:r>
        <w:t xml:space="preserve">Lista de los nueve criterios con definición en una frase.  </w:t>
      </w:r>
    </w:p>
    <w:p>
      <w:pPr>
        <w:pStyle w:val="ListBullet"/>
        <w:keepLines w:val="1"/>
        <w:widowControl w:val="1"/>
      </w:pPr>
      <w:r>
        <w:t>Comentario: "No todas las métricas son iguales; algunas merecen jubilarse".</w:t>
      </w:r>
    </w:p>
    <w:p>
      <w:pPr>
        <w:pStyle w:val="Heading2"/>
        <w:keepNext/>
        <w:keepLines/>
      </w:pPr>
      <w:r>
        <w:rPr>
          <w:color w:val="0066CC"/>
        </w:rPr>
        <w:t>Diapositiva 5 – Conjunto de métricas seleccionadas</w:t>
      </w:r>
    </w:p>
    <w:p>
      <w:pPr>
        <w:pStyle w:val="ListBullet"/>
        <w:keepLines w:val="1"/>
        <w:keepNext w:val="1"/>
        <w:widowControl w:val="1"/>
      </w:pPr>
      <w:r>
        <w:t xml:space="preserve">Tabla sencilla con 6–10 métricas clave:  </w:t>
      </w:r>
    </w:p>
    <w:p>
      <w:pPr>
        <w:pStyle w:val="ListBullet"/>
        <w:keepLines w:val="1"/>
        <w:widowControl w:val="1"/>
      </w:pPr>
      <w:r>
        <w:t xml:space="preserve">Métrica, función CSF, objetivo GQM asociado.  </w:t>
      </w:r>
    </w:p>
    <w:p>
      <w:pPr>
        <w:pStyle w:val="Heading2"/>
        <w:keepNext/>
        <w:keepLines/>
      </w:pPr>
      <w:r>
        <w:rPr>
          <w:color w:val="0066CC"/>
        </w:rPr>
        <w:t>Diapositiva 6 – Puntuaciones PRAGMATIC</w:t>
      </w:r>
    </w:p>
    <w:p>
      <w:pPr>
        <w:pStyle w:val="ListBullet"/>
        <w:keepLines w:val="1"/>
        <w:keepNext w:val="1"/>
        <w:widowControl w:val="1"/>
      </w:pPr>
      <w:r>
        <w:t xml:space="preserve">Gráfico de barras con la media PRAGMATIC de cada métrica.  </w:t>
      </w:r>
    </w:p>
    <w:p>
      <w:pPr>
        <w:pStyle w:val="ListBullet"/>
        <w:keepLines w:val="1"/>
        <w:keepNext w:val="1"/>
        <w:widowControl w:val="1"/>
      </w:pPr>
      <w:r>
        <w:t xml:space="preserve">Destacar:  </w:t>
      </w:r>
    </w:p>
    <w:p>
      <w:pPr>
        <w:pStyle w:val="ListBullet"/>
        <w:keepLines w:val="1"/>
        <w:keepNext w:val="1"/>
        <w:widowControl w:val="1"/>
      </w:pPr>
      <w:r>
        <w:t xml:space="preserve">Métricas con puntuación alta (mantener/reforzar).  </w:t>
      </w:r>
    </w:p>
    <w:p>
      <w:pPr>
        <w:pStyle w:val="ListBullet"/>
        <w:keepLines w:val="1"/>
        <w:widowControl w:val="1"/>
      </w:pPr>
      <w:r>
        <w:t>Métricas con puntuación baja (revisar o eliminar).</w:t>
      </w:r>
    </w:p>
    <w:p>
      <w:pPr>
        <w:pStyle w:val="Heading2"/>
        <w:keepNext/>
        <w:keepLines/>
      </w:pPr>
      <w:r>
        <w:rPr>
          <w:color w:val="0066CC"/>
        </w:rPr>
        <w:t>Diapositiva 7 – IGM por función CSF</w:t>
      </w:r>
    </w:p>
    <w:p>
      <w:pPr>
        <w:pStyle w:val="ListBullet"/>
        <w:keepLines w:val="1"/>
        <w:keepNext w:val="1"/>
        <w:widowControl w:val="1"/>
      </w:pPr>
      <w:r>
        <w:t xml:space="preserve">Gráfico radar o barras: GV, ID, PR, DE, RS, RC, SC, ME.  </w:t>
      </w:r>
    </w:p>
    <w:p>
      <w:pPr>
        <w:pStyle w:val="ListBullet"/>
        <w:keepLines w:val="1"/>
        <w:keepNext w:val="1"/>
        <w:widowControl w:val="1"/>
      </w:pPr>
      <w:r>
        <w:t xml:space="preserve">Comentarios:  </w:t>
      </w:r>
    </w:p>
    <w:p>
      <w:pPr>
        <w:pStyle w:val="ListBullet"/>
        <w:keepLines w:val="1"/>
        <w:keepNext w:val="1"/>
        <w:widowControl w:val="1"/>
      </w:pPr>
      <w:r>
        <w:t xml:space="preserve">Funciones más avanzadas.  </w:t>
      </w:r>
    </w:p>
    <w:p>
      <w:pPr>
        <w:pStyle w:val="ListBullet"/>
        <w:keepLines w:val="1"/>
        <w:widowControl w:val="1"/>
      </w:pPr>
      <w:r>
        <w:t>Funciones con mayor margen de mejora.</w:t>
      </w:r>
    </w:p>
    <w:p>
      <w:pPr>
        <w:pStyle w:val="Heading2"/>
        <w:keepNext/>
        <w:keepLines/>
      </w:pPr>
      <w:r>
        <w:rPr>
          <w:color w:val="0066CC"/>
        </w:rPr>
        <w:t>Diapositiva 8 – ROI y beneficios estimados</w:t>
      </w:r>
    </w:p>
    <w:p>
      <w:pPr>
        <w:pStyle w:val="ListBullet"/>
        <w:keepLines w:val="1"/>
        <w:keepNext w:val="1"/>
        <w:widowControl w:val="1"/>
      </w:pPr>
      <w:r>
        <w:t xml:space="preserve">Tabla o gráfico:  </w:t>
      </w:r>
    </w:p>
    <w:p>
      <w:pPr>
        <w:pStyle w:val="ListBullet"/>
        <w:keepLines w:val="1"/>
        <w:keepNext w:val="1"/>
        <w:widowControl w:val="1"/>
      </w:pPr>
      <w:r>
        <w:t xml:space="preserve">Inversión anual.  </w:t>
      </w:r>
    </w:p>
    <w:p>
      <w:pPr>
        <w:pStyle w:val="ListBullet"/>
        <w:keepLines w:val="1"/>
        <w:keepNext w:val="1"/>
        <w:widowControl w:val="1"/>
      </w:pPr>
      <w:r>
        <w:t xml:space="preserve">Reducción de incidentes graves.  </w:t>
      </w:r>
    </w:p>
    <w:p>
      <w:pPr>
        <w:pStyle w:val="ListBullet"/>
        <w:keepLines w:val="1"/>
        <w:keepNext w:val="1"/>
        <w:widowControl w:val="1"/>
      </w:pPr>
      <w:r>
        <w:t xml:space="preserve">Reducción de MTTD/MTTR.  </w:t>
      </w:r>
    </w:p>
    <w:p>
      <w:pPr>
        <w:pStyle w:val="ListBullet"/>
        <w:keepLines w:val="1"/>
        <w:widowControl w:val="1"/>
      </w:pPr>
      <w:r>
        <w:t>ROI estimado (si se ha calculado).</w:t>
      </w:r>
    </w:p>
    <w:p>
      <w:pPr>
        <w:pStyle w:val="Heading2"/>
        <w:keepNext/>
        <w:keepLines/>
      </w:pPr>
      <w:r>
        <w:rPr>
          <w:color w:val="0066CC"/>
        </w:rPr>
        <w:t>Diapositiva 9 – Próximos pasos</w:t>
      </w:r>
    </w:p>
    <w:p>
      <w:pPr>
        <w:pStyle w:val="ListBullet"/>
        <w:keepLines w:val="1"/>
        <w:keepNext w:val="1"/>
        <w:widowControl w:val="1"/>
      </w:pPr>
      <w:r>
        <w:t xml:space="preserve">Depurar el portfolio de métricas.  </w:t>
      </w:r>
    </w:p>
    <w:p>
      <w:pPr>
        <w:pStyle w:val="ListBullet"/>
        <w:keepLines w:val="1"/>
        <w:keepNext w:val="1"/>
        <w:widowControl w:val="1"/>
      </w:pPr>
      <w:r>
        <w:t xml:space="preserve">Priorizar inversiones basadas en indicadores críticos.  </w:t>
      </w:r>
    </w:p>
    <w:p>
      <w:pPr>
        <w:pStyle w:val="ListBullet"/>
        <w:keepLines w:val="1"/>
        <w:widowControl w:val="1"/>
      </w:pPr>
      <w:r>
        <w:t>Establecer un ciclo periódico de medición, revisión y ajuste.</w:t>
      </w:r>
    </w:p>
    <w:p>
      <w:r>
        <w:t>Esta plantilla puede integrarse con la plantilla anterior de reporte ejecutivo de encuesta para ofrecer una visión de madurez + calidad de métricas.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