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de Encuesta NIST CSF 2.0</w:t>
      </w:r>
    </w:p>
    <w:p>
      <w:pPr>
        <w:pStyle w:val="Heading2"/>
        <w:keepNext/>
        <w:keepLines/>
      </w:pPr>
      <w:r>
        <w:rPr>
          <w:color w:val="0066CC"/>
        </w:rPr>
        <w:t>Instrucciones rápidas para uso y adaptación</w:t>
      </w:r>
    </w:p>
    <w:p>
      <w:pPr>
        <w:pStyle w:val="Heading2"/>
        <w:keepNext/>
        <w:keepLines/>
      </w:pPr>
      <w:r>
        <w:rPr>
          <w:color w:val="0066CC"/>
        </w:rPr>
        <w:t>1. Contenido del kit</w:t>
      </w:r>
    </w:p>
    <w:p>
      <w:r>
        <w:t>El kit incluye los siguientes archivos en formato Markdown:</w:t>
      </w:r>
    </w:p>
    <w:p>
      <w:pPr>
        <w:pStyle w:val="ListBullet"/>
        <w:keepLines w:val="1"/>
        <w:keepNext w:val="1"/>
        <w:widowControl w:val="1"/>
      </w:pPr>
      <w:r>
        <w:t xml:space="preserve">a_modelo_encuesta.md – Cuestionario completo para responsables de ciberseguridad.  </w:t>
      </w:r>
    </w:p>
    <w:p>
      <w:pPr>
        <w:pStyle w:val="ListBullet"/>
        <w:keepLines w:val="1"/>
        <w:keepNext w:val="1"/>
        <w:widowControl w:val="1"/>
      </w:pPr>
      <w:r>
        <w:t xml:space="preserve">b_guia_metodologica.md – Orientación sobre diseño, aplicación y análisis.  </w:t>
      </w:r>
    </w:p>
    <w:p>
      <w:pPr>
        <w:pStyle w:val="ListBullet"/>
        <w:keepLines w:val="1"/>
        <w:keepNext w:val="1"/>
        <w:widowControl w:val="1"/>
      </w:pPr>
      <w:r>
        <w:t xml:space="preserve">c_narrativa_explicativa.md – Texto explicativo para acompañar informes o comunicaciones.  </w:t>
      </w:r>
    </w:p>
    <w:p>
      <w:pPr>
        <w:pStyle w:val="ListBullet"/>
        <w:keepLines w:val="1"/>
        <w:keepNext w:val="1"/>
        <w:widowControl w:val="1"/>
      </w:pPr>
      <w:r>
        <w:t xml:space="preserve">d_mapeo_normativo.md – Tabla de mapeo de preguntas a marcos normativos y estándares.  </w:t>
      </w:r>
    </w:p>
    <w:p>
      <w:pPr>
        <w:pStyle w:val="ListBullet"/>
        <w:keepLines w:val="1"/>
        <w:keepNext w:val="1"/>
        <w:widowControl w:val="1"/>
      </w:pPr>
      <w:r>
        <w:t xml:space="preserve">e_plantilla_igm_roi.md – Especificación de una hoja Excel para cálculo de IGM y ROI.  </w:t>
      </w:r>
    </w:p>
    <w:p>
      <w:pPr>
        <w:pStyle w:val="ListBullet"/>
        <w:keepLines w:val="1"/>
        <w:widowControl w:val="1"/>
      </w:pPr>
      <w:r>
        <w:t xml:space="preserve">f_plantilla_reporte_ejecutivo.md – Guion para preparar presentación ejecutiva (PowerPoint).  </w:t>
      </w:r>
    </w:p>
    <w:p>
      <w:pPr>
        <w:pStyle w:val="Heading2"/>
        <w:keepNext/>
        <w:keepLines/>
      </w:pPr>
      <w:r>
        <w:rPr>
          <w:color w:val="0066CC"/>
        </w:rPr>
        <w:t>2. Cómo empezar en 5 pasos</w:t>
      </w:r>
    </w:p>
    <w:p>
      <w:pPr>
        <w:pStyle w:val="ListNumber"/>
        <w:keepLines w:val="1"/>
        <w:keepNext w:val="1"/>
        <w:widowControl w:val="1"/>
      </w:pPr>
      <w:r>
        <w:t xml:space="preserve">Revisar y ajustar el modelo de encuesta (a_modelo_encuesta.md).  </w:t>
      </w:r>
    </w:p>
    <w:p>
      <w:pPr>
        <w:pStyle w:val="ListNumber"/>
        <w:keepLines w:val="1"/>
        <w:keepNext w:val="1"/>
        <w:widowControl w:val="1"/>
      </w:pPr>
      <w:r>
        <w:t xml:space="preserve">Adaptar lenguaje y ejemplos al sector o tipo de organización.  </w:t>
      </w:r>
    </w:p>
    <w:p>
      <w:pPr>
        <w:pStyle w:val="ListNumber"/>
        <w:keepLines w:val="1"/>
        <w:keepNext w:val="1"/>
        <w:widowControl w:val="1"/>
      </w:pPr>
      <w:r>
        <w:br/>
        <w:t>Añadir o eliminar preguntas según alcance.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Definir el modo de aplicación.  </w:t>
        <w:br/>
      </w:r>
    </w:p>
    <w:p>
      <w:pPr>
        <w:pStyle w:val="ListNumber"/>
        <w:keepLines w:val="1"/>
        <w:keepNext w:val="1"/>
        <w:widowControl w:val="1"/>
      </w:pPr>
      <w:r>
        <w:t xml:space="preserve">Formularios online (recomendado).  </w:t>
      </w:r>
    </w:p>
    <w:p>
      <w:pPr>
        <w:pStyle w:val="ListNumber"/>
        <w:keepLines w:val="1"/>
        <w:keepNext w:val="1"/>
        <w:widowControl w:val="1"/>
      </w:pPr>
      <w:r>
        <w:br/>
        <w:t>Entrevistas guiadas (para análisis cualitativo más profundo).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Construir el Excel de cálculo a partir de e_plantilla_igm_roi.md.  </w:t>
        <w:br/>
      </w:r>
    </w:p>
    <w:p>
      <w:pPr>
        <w:pStyle w:val="ListNumber"/>
        <w:keepLines w:val="1"/>
        <w:keepNext w:val="1"/>
        <w:widowControl w:val="1"/>
      </w:pPr>
      <w:r>
        <w:t xml:space="preserve">Crear las hojas Respuestas, Madurez_CSFFunciones, IGM, ROI_Ciberseguridad, Dashboard.  </w:t>
      </w:r>
    </w:p>
    <w:p>
      <w:pPr>
        <w:pStyle w:val="ListNumber"/>
        <w:keepLines w:val="1"/>
        <w:keepNext w:val="1"/>
        <w:widowControl w:val="1"/>
      </w:pPr>
      <w:r>
        <w:br/>
        <w:t>Probar con datos de ejemplo.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Planificar el análisis y el reporte.  </w:t>
        <w:br/>
      </w:r>
    </w:p>
    <w:p>
      <w:pPr>
        <w:pStyle w:val="ListNumber"/>
        <w:keepLines w:val="1"/>
        <w:keepNext w:val="1"/>
        <w:widowControl w:val="1"/>
      </w:pPr>
      <w:r>
        <w:t xml:space="preserve">Usar b_guia_metodologica.md para marcar el proceso de análisis.  </w:t>
      </w:r>
    </w:p>
    <w:p>
      <w:pPr>
        <w:pStyle w:val="ListNumber"/>
        <w:keepLines w:val="1"/>
        <w:keepNext w:val="1"/>
        <w:widowControl w:val="1"/>
      </w:pPr>
      <w:r>
        <w:br/>
        <w:t>Utilizar f_plantilla_reporte_ejecutivo.md para el informe a la dirección.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Comunicar resultados.  </w:t>
        <w:br/>
      </w:r>
    </w:p>
    <w:p>
      <w:pPr>
        <w:pStyle w:val="ListNumber"/>
        <w:keepLines w:val="1"/>
        <w:keepNext w:val="1"/>
        <w:widowControl w:val="1"/>
      </w:pPr>
      <w:r>
        <w:t xml:space="preserve">Incorporar fragmentos de c_narrativa_explicativa.md al informe o presentación.  </w:t>
      </w:r>
    </w:p>
    <w:p>
      <w:pPr>
        <w:pStyle w:val="ListNumber"/>
        <w:keepLines w:val="1"/>
        <w:widowControl w:val="1"/>
      </w:pPr>
      <w:r>
        <w:t>Acordar un ciclo de repetición (p.ej., anual) para seguimiento.</w:t>
      </w:r>
    </w:p>
    <w:p>
      <w:r>
        <w:t>Añadir o eliminar preguntas según alcance.</w:t>
      </w:r>
    </w:p>
    <w:p>
      <w:r>
        <w:rPr>
          <w:b/>
        </w:rPr>
        <w:t>Definir el modo de aplicación</w:t>
      </w:r>
      <w:r>
        <w:t xml:space="preserve">.  </w:t>
      </w:r>
    </w:p>
    <w:p>
      <w:r>
        <w:t>Entrevistas guiadas (para análisis cualitativo más profundo).</w:t>
      </w:r>
    </w:p>
    <w:p>
      <w:r>
        <w:rPr>
          <w:b/>
        </w:rPr>
        <w:t>Construir el Excel de cálculo</w:t>
      </w:r>
      <w:r>
        <w:t xml:space="preserve"> a partir de </w:t>
      </w:r>
      <w:r>
        <w:rPr>
          <w:rFonts w:ascii="Courier New" w:hAnsi="Courier New"/>
          <w:sz w:val="18"/>
        </w:rPr>
        <w:t>e_plantilla_igm_roi.md</w:t>
      </w:r>
      <w:r>
        <w:t xml:space="preserve">.  </w:t>
      </w:r>
    </w:p>
    <w:p>
      <w:r>
        <w:t>Probar con datos de ejemplo.</w:t>
      </w:r>
    </w:p>
    <w:p>
      <w:r>
        <w:rPr>
          <w:b/>
        </w:rPr>
        <w:t>Planificar el análisis y el reporte</w:t>
      </w:r>
      <w:r>
        <w:t xml:space="preserve">.  </w:t>
      </w:r>
    </w:p>
    <w:p>
      <w:r>
        <w:t xml:space="preserve">Utilizar </w:t>
      </w:r>
      <w:r>
        <w:rPr>
          <w:rFonts w:ascii="Courier New" w:hAnsi="Courier New"/>
          <w:sz w:val="18"/>
        </w:rPr>
        <w:t>f_plantilla_reporte_ejecutivo.md</w:t>
      </w:r>
      <w:r>
        <w:t xml:space="preserve"> para el informe a la dirección.</w:t>
      </w:r>
    </w:p>
    <w:p>
      <w:r>
        <w:rPr>
          <w:b/>
        </w:rPr>
        <w:t>Comunicar resultados</w:t>
      </w:r>
      <w:r>
        <w:t xml:space="preserve">.  </w:t>
      </w:r>
    </w:p>
    <w:p>
      <w:pPr>
        <w:pStyle w:val="Heading2"/>
        <w:keepNext/>
        <w:keepLines/>
      </w:pPr>
      <w:r>
        <w:rPr>
          <w:color w:val="0066CC"/>
        </w:rPr>
        <w:t>3. Personalización para distintos contextos</w:t>
      </w:r>
    </w:p>
    <w:p>
      <w:pPr>
        <w:pStyle w:val="ListBullet"/>
        <w:keepLines w:val="1"/>
        <w:keepNext w:val="1"/>
        <w:widowControl w:val="1"/>
      </w:pPr>
      <w:r>
        <w:t xml:space="preserve">Administración pública:  </w:t>
      </w:r>
    </w:p>
    <w:p>
      <w:pPr>
        <w:pStyle w:val="ListBullet"/>
        <w:keepLines w:val="1"/>
        <w:keepNext w:val="1"/>
        <w:widowControl w:val="1"/>
      </w:pPr>
      <w:r>
        <w:t xml:space="preserve">Ajustar referencias a ENS, NIS2 y obligaciones sectoriales.  </w:t>
      </w:r>
    </w:p>
    <w:p>
      <w:pPr>
        <w:pStyle w:val="ListBullet"/>
        <w:keepLines w:val="1"/>
        <w:keepNext w:val="1"/>
        <w:widowControl w:val="1"/>
      </w:pPr>
      <w:r>
        <w:br/>
        <w:t>Incorporar preguntas específicas de servicios públicos digitales.</w:t>
        <w:br/>
      </w:r>
    </w:p>
    <w:p>
      <w:pPr>
        <w:pStyle w:val="ListBullet"/>
        <w:keepLines w:val="1"/>
        <w:keepNext w:val="1"/>
        <w:widowControl w:val="1"/>
      </w:pPr>
      <w:r>
        <w:br/>
        <w:t xml:space="preserve">Operadores esenciales y críticos:  </w:t>
        <w:br/>
      </w:r>
    </w:p>
    <w:p>
      <w:pPr>
        <w:pStyle w:val="ListBullet"/>
        <w:keepLines w:val="1"/>
        <w:keepNext w:val="1"/>
        <w:widowControl w:val="1"/>
      </w:pPr>
      <w:r>
        <w:t xml:space="preserve">Reforzar secciones de cadena de suministro y continuidad.  </w:t>
      </w:r>
    </w:p>
    <w:p>
      <w:pPr>
        <w:pStyle w:val="ListBullet"/>
        <w:keepLines w:val="1"/>
        <w:keepNext w:val="1"/>
        <w:widowControl w:val="1"/>
      </w:pPr>
      <w:r>
        <w:br/>
        <w:t>Mapear con más detalle a NIS2, DORA u otras normas sectoriales.</w:t>
        <w:br/>
      </w:r>
    </w:p>
    <w:p>
      <w:pPr>
        <w:pStyle w:val="ListBullet"/>
        <w:keepLines w:val="1"/>
        <w:keepNext w:val="1"/>
        <w:widowControl w:val="1"/>
      </w:pPr>
      <w:r>
        <w:br/>
        <w:t xml:space="preserve">Empresas privadas medianas/grandes:  </w:t>
        <w:br/>
      </w:r>
    </w:p>
    <w:p>
      <w:pPr>
        <w:pStyle w:val="ListBullet"/>
        <w:keepLines w:val="1"/>
        <w:keepNext w:val="1"/>
        <w:widowControl w:val="1"/>
      </w:pPr>
      <w:r>
        <w:t xml:space="preserve">Simplificar algunos apartados normativos, enfatizando ROI y alineamiento con negocio.  </w:t>
      </w:r>
    </w:p>
    <w:p>
      <w:pPr>
        <w:pStyle w:val="ListBullet"/>
        <w:keepLines w:val="1"/>
        <w:widowControl w:val="1"/>
      </w:pPr>
      <w:r>
        <w:t>Destacar indicadores orientados a reducción de pérdidas y reputación.</w:t>
      </w:r>
    </w:p>
    <w:p>
      <w:r>
        <w:t>Incorporar preguntas específicas de servicios públicos digitales.</w:t>
      </w:r>
    </w:p>
    <w:p>
      <w:r>
        <w:rPr>
          <w:b/>
        </w:rPr>
        <w:t>Operadores esenciales y críticos</w:t>
      </w:r>
      <w:r>
        <w:t xml:space="preserve">:  </w:t>
      </w:r>
    </w:p>
    <w:p>
      <w:r>
        <w:t>Mapear con más detalle a NIS2, DORA u otras normas sectoriales.</w:t>
      </w:r>
    </w:p>
    <w:p>
      <w:r>
        <w:rPr>
          <w:b/>
        </w:rPr>
        <w:t>Empresas privadas medianas/grandes</w:t>
      </w:r>
      <w:r>
        <w:t xml:space="preserve">:  </w:t>
      </w:r>
    </w:p>
    <w:p>
      <w:pPr>
        <w:pStyle w:val="Heading2"/>
        <w:keepNext/>
        <w:keepLines/>
      </w:pPr>
      <w:r>
        <w:rPr>
          <w:color w:val="0066CC"/>
        </w:rPr>
        <w:t>4. Buenas prácticas de uso</w:t>
      </w:r>
    </w:p>
    <w:p>
      <w:pPr>
        <w:pStyle w:val="ListBullet"/>
        <w:keepLines w:val="1"/>
        <w:keepNext w:val="1"/>
        <w:widowControl w:val="1"/>
      </w:pPr>
      <w:r>
        <w:t xml:space="preserve">Mantener un equilibrio entre sinceridad y diplomacia al interpretar resultados.  </w:t>
      </w:r>
    </w:p>
    <w:p>
      <w:pPr>
        <w:pStyle w:val="ListBullet"/>
        <w:keepLines w:val="1"/>
        <w:keepNext w:val="1"/>
        <w:widowControl w:val="1"/>
      </w:pPr>
      <w:r>
        <w:t xml:space="preserve">Evitar usar el IGM como arma arrojadiza; es un instrumento de mejora, no un boletín de notas.  </w:t>
      </w:r>
    </w:p>
    <w:p>
      <w:pPr>
        <w:pStyle w:val="ListBullet"/>
        <w:keepLines w:val="1"/>
        <w:widowControl w:val="1"/>
      </w:pPr>
      <w:r>
        <w:t xml:space="preserve">Documentar cambios en el cuestionario a lo largo del tiempo para no distorsionar las comparaciones.  </w:t>
      </w:r>
    </w:p>
    <w:p>
      <w:pPr>
        <w:pStyle w:val="Heading2"/>
        <w:keepNext/>
        <w:keepLines/>
      </w:pPr>
      <w:r>
        <w:rPr>
          <w:color w:val="0066CC"/>
        </w:rPr>
        <w:t>5. Licencia y créditos</w:t>
      </w:r>
    </w:p>
    <w:p>
      <w:pPr>
        <w:pStyle w:val="ListBullet"/>
        <w:keepLines w:val="1"/>
        <w:keepNext w:val="1"/>
        <w:widowControl w:val="1"/>
      </w:pPr>
      <w:r>
        <w:t xml:space="preserve">Este kit está pensado para ser utilizado, adaptado y extendido en proyectos de evaluación de madurez en ciberseguridad alineados con NIST CSF 2.0.  </w:t>
      </w:r>
    </w:p>
    <w:p>
      <w:pPr>
        <w:pStyle w:val="ListBullet"/>
        <w:keepLines w:val="1"/>
        <w:widowControl w:val="1"/>
      </w:pPr>
      <w:r>
        <w:t>Se recomienda mantener la referencia al marco NIST y a las normas asociadas cuando se redistribuya o incorpore en otros trabajos.</w:t>
      </w:r>
    </w:p>
    <w:p>
      <w:pPr>
        <w:pStyle w:val="Heading2"/>
        <w:keepNext/>
        <w:keepLines/>
      </w:pPr>
      <w:r>
        <w:rPr>
          <w:color w:val="0066CC"/>
        </w:rPr>
        <w:t>6. Contacto y evolución</w:t>
      </w:r>
    </w:p>
    <w:p>
      <w:pPr>
        <w:pStyle w:val="ListBullet"/>
        <w:keepLines w:val="1"/>
        <w:keepNext w:val="1"/>
        <w:widowControl w:val="1"/>
      </w:pPr>
      <w:r>
        <w:t xml:space="preserve">Incluir aquí datos de contacto del equipo responsable en la organización (CISO, Oficina de Riesgos, PMO de seguridad).  </w:t>
      </w:r>
    </w:p>
    <w:p>
      <w:pPr>
        <w:pStyle w:val="ListBullet"/>
        <w:keepLines w:val="1"/>
        <w:widowControl w:val="1"/>
      </w:pPr>
      <w:r>
        <w:t>Registrar sugerencias de mejora tras cada ciclo de uso para enriquecer el kit.</w:t>
      </w:r>
    </w:p>
    <w:p>
      <w:r>
        <w:t>El objetivo no es “salir bien en la foto”, sino tener una foto suficientemente nítida como para saber qué hay que mejorar y poder demostrarlo con el tiempo.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