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 para indicadores CVSS v4.0</w:t>
      </w:r>
    </w:p>
    <w:p>
      <w:pPr>
        <w:pStyle w:val="Heading2"/>
        <w:keepNext/>
        <w:keepLines/>
      </w:pPr>
      <w:r>
        <w:rPr>
          <w:color w:val="0066CC"/>
        </w:rPr>
        <w:t>1. Escala de valoración</w:t>
      </w:r>
    </w:p>
    <w:p>
      <w:r>
        <w:t>Se utiliza una escala 0–5 para cada criterio PRAGMATIC:</w:t>
      </w:r>
    </w:p>
    <w:p>
      <w:pPr>
        <w:pStyle w:val="ListBullet"/>
        <w:keepLines w:val="1"/>
        <w:keepNext w:val="1"/>
        <w:widowControl w:val="1"/>
      </w:pPr>
      <w:r>
        <w:t xml:space="preserve">0: No aplica / sin valor.  </w:t>
      </w:r>
    </w:p>
    <w:p>
      <w:pPr>
        <w:pStyle w:val="ListBullet"/>
        <w:keepLines w:val="1"/>
        <w:keepNext w:val="1"/>
        <w:widowControl w:val="1"/>
      </w:pPr>
      <w:r>
        <w:t xml:space="preserve">1: Muy bajo.  </w:t>
      </w:r>
    </w:p>
    <w:p>
      <w:pPr>
        <w:pStyle w:val="ListBullet"/>
        <w:keepLines w:val="1"/>
        <w:keepNext w:val="1"/>
        <w:widowControl w:val="1"/>
      </w:pPr>
      <w:r>
        <w:t xml:space="preserve">2: Bajo.  </w:t>
      </w:r>
    </w:p>
    <w:p>
      <w:pPr>
        <w:pStyle w:val="ListBullet"/>
        <w:keepLines w:val="1"/>
        <w:keepNext w:val="1"/>
        <w:widowControl w:val="1"/>
      </w:pPr>
      <w:r>
        <w:t xml:space="preserve">3: Medio.  </w:t>
      </w:r>
    </w:p>
    <w:p>
      <w:pPr>
        <w:pStyle w:val="ListBullet"/>
        <w:keepLines w:val="1"/>
        <w:keepNext w:val="1"/>
        <w:widowControl w:val="1"/>
      </w:pPr>
      <w:r>
        <w:t xml:space="preserve">4: Alto.  </w:t>
      </w:r>
    </w:p>
    <w:p>
      <w:pPr>
        <w:pStyle w:val="ListBullet"/>
        <w:keepLines w:val="1"/>
        <w:widowControl w:val="1"/>
      </w:pPr>
      <w:r>
        <w:t xml:space="preserve">5: Muy alto.  </w:t>
      </w:r>
    </w:p>
    <w:p>
      <w:r>
        <w:t xml:space="preserve">La puntuación global PRAGMATIC de cada métrica es la suma simple (máximo 45) o una media ponderada si se asignan pesos distintos a los criterios. [web:21][web:24][web:27]  </w:t>
      </w:r>
    </w:p>
    <w:p>
      <w:pPr>
        <w:pStyle w:val="Heading2"/>
        <w:keepNext/>
        <w:keepLines/>
      </w:pPr>
      <w:r>
        <w:rPr>
          <w:color w:val="0066CC"/>
        </w:rPr>
        <w:t>2. Indicadores considerados</w:t>
      </w:r>
    </w:p>
    <w:p>
      <w:r>
        <w:t>Tomamos como ejemplo cinco indicadores CVSS v4.0 de ámbito nacional:</w:t>
      </w:r>
    </w:p>
    <w:p>
      <w:pPr>
        <w:pStyle w:val="ListNumber"/>
        <w:keepLines w:val="1"/>
        <w:keepNext w:val="1"/>
        <w:widowControl w:val="1"/>
      </w:pPr>
      <w:r>
        <w:br/>
        <w:t>M1 – Densidad de vulnerabilidades críticas expuestas</w:t>
        <w:br/>
        <w:t xml:space="preserve">   Porcentaje de sistemas/servicios expuestos a Internet con vulnerabilidades CVSS Base ≥ 8.0. [web:1][web:16][web:22]  </w:t>
        <w:br/>
      </w:r>
    </w:p>
    <w:p>
      <w:pPr>
        <w:pStyle w:val="ListNumber"/>
        <w:keepLines w:val="1"/>
        <w:keepNext w:val="1"/>
        <w:widowControl w:val="1"/>
      </w:pPr>
      <w:r>
        <w:br/>
        <w:t>M2 – Tiempo medio de mitigación de vulnerabilidades explotadas activamente</w:t>
        <w:br/>
        <w:t xml:space="preserve">   Promedio de días desde divulgación hasta mitigación para vulnerabilidades con métrica Threat = Active o Mass. [web:1][web:7][web:13]  </w:t>
        <w:br/>
      </w:r>
    </w:p>
    <w:p>
      <w:pPr>
        <w:pStyle w:val="ListNumber"/>
        <w:keepLines w:val="1"/>
        <w:keepNext w:val="1"/>
        <w:widowControl w:val="1"/>
      </w:pPr>
      <w:r>
        <w:br/>
        <w:t>M3 – Proporción de vulnerabilidades críticas en servicios esenciales sin mitigación en plazo</w:t>
        <w:br/>
        <w:t xml:space="preserve">   Porcentaje de vulnerabilidades con Environmental que refleje alta criticidad (p. ej. disponibilidad alta) que superan el plazo objetivo de mitigación. [web:1][web:10][web:12]  </w:t>
        <w:br/>
      </w:r>
    </w:p>
    <w:p>
      <w:pPr>
        <w:pStyle w:val="ListNumber"/>
        <w:keepLines w:val="1"/>
        <w:keepNext w:val="1"/>
        <w:widowControl w:val="1"/>
      </w:pPr>
      <w:r>
        <w:br/>
        <w:t>M4 – Índice de cobertura de evaluación CVSS v4.0</w:t>
        <w:br/>
        <w:t xml:space="preserve">   Porcentaje de vulnerabilidades relevantes para el país que cuentan con scoring completo (Base + Threat + Environmental) conforme a v4.0. [web:1][web:16][web:22]  </w:t>
        <w:br/>
      </w:r>
    </w:p>
    <w:p>
      <w:pPr>
        <w:pStyle w:val="ListNumber"/>
        <w:keepLines w:val="1"/>
        <w:widowControl w:val="1"/>
      </w:pPr>
      <w:r>
        <w:br/>
        <w:t>M5 – Índice de alineamiento regulatorio NIS2–CVSS</w:t>
        <w:br/>
        <w:t xml:space="preserve">   Proporción de incidentes notificados bajo NIS2 cuya gravedad y priorización está trazada a métricas CVSS de forma explícita. [web:7][web:13]  </w:t>
        <w:br/>
      </w:r>
    </w:p>
    <w:p>
      <w:r>
        <w:rPr>
          <w:b/>
        </w:rPr>
        <w:t>M1 – Densidad de vulnerabilidades críticas expuestas</w:t>
      </w:r>
      <w:r/>
      <w:r>
        <w:br/>
        <w:t xml:space="preserve">   Porcentaje de sistemas/servicios expuestos a Internet con vulnerabilidades CVSS Base ≥ 8.0. [web:1][web:16][web:22]  </w:t>
      </w:r>
    </w:p>
    <w:p>
      <w:r>
        <w:rPr>
          <w:b/>
        </w:rPr>
        <w:t>M2 – Tiempo medio de mitigación de vulnerabilidades explotadas activamente</w:t>
      </w:r>
      <w:r/>
      <w:r>
        <w:br/>
        <w:t xml:space="preserve">   Promedio de días desde divulgación hasta mitigación para vulnerabilidades con métrica Threat = Active o Mass. [web:1][web:7][web:13]  </w:t>
      </w:r>
    </w:p>
    <w:p>
      <w:r>
        <w:rPr>
          <w:b/>
        </w:rPr>
        <w:t>M3 – Proporción de vulnerabilidades críticas en servicios esenciales sin mitigación en plazo</w:t>
      </w:r>
      <w:r/>
      <w:r>
        <w:br/>
        <w:t xml:space="preserve">   Porcentaje de vulnerabilidades con Environmental que refleje alta criticidad (p. ej. disponibilidad alta) que superan el plazo objetivo de mitigación. [web:1][web:10][web:12]  </w:t>
      </w:r>
    </w:p>
    <w:p>
      <w:r>
        <w:rPr>
          <w:b/>
        </w:rPr>
        <w:t>M4 – Índice de cobertura de evaluación CVSS v4.0</w:t>
      </w:r>
      <w:r/>
      <w:r>
        <w:br/>
        <w:t xml:space="preserve">   Porcentaje de vulnerabilidades relevantes para el país que cuentan con scoring completo (Base + Threat + Environmental) conforme a v4.0. [web:1][web:16][web:22]  </w:t>
      </w:r>
    </w:p>
    <w:p>
      <w:r>
        <w:rPr>
          <w:b/>
        </w:rPr>
        <w:t>M5 – Índice de alineamiento regulatorio NIS2–CVSS</w:t>
      </w:r>
      <w:r/>
      <w:r>
        <w:br/>
        <w:t xml:space="preserve">   Proporción de incidentes notificados bajo NIS2 cuya gravedad y priorización está trazada a métricas CVSS de forma explícita. [web:7][web:13]  </w:t>
      </w:r>
    </w:p>
    <w:p>
      <w:pPr>
        <w:pStyle w:val="Heading2"/>
        <w:keepNext/>
        <w:keepLines/>
      </w:pPr>
      <w:r>
        <w:rPr>
          <w:color w:val="0066CC"/>
        </w:rPr>
        <w:t>3. Matriz PRAGMATIC (ejemplo cuantificado)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Predictivo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Relevante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Accionable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Genuino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Significativo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Preciso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Oportuno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Independiente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Rentable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 (0–45)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36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37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29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M5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29</w:t>
            </w:r>
          </w:p>
        </w:tc>
      </w:tr>
    </w:tbl>
    <w:p/>
    <w:p>
      <w:r>
        <w:t xml:space="preserve">Los valores de la tabla son un ejemplo razonado que deberá ajustarse mediante consenso entre responsables de ciberseguridad, reguladores y analistas de datos.  </w:t>
      </w:r>
    </w:p>
    <w:p>
      <w:pPr>
        <w:pStyle w:val="Heading2"/>
        <w:keepNext/>
        <w:keepLines/>
      </w:pPr>
      <w:r>
        <w:rPr>
          <w:color w:val="0066CC"/>
        </w:rPr>
        <w:t>4. Comentario cualitativo por métrica</w:t>
      </w:r>
    </w:p>
    <w:p>
      <w:pPr>
        <w:pStyle w:val="Heading3"/>
        <w:keepNext/>
        <w:keepLines/>
      </w:pPr>
      <w:r>
        <w:t>M1 – Densidad de vulnerabilidades críticas expuestas</w:t>
      </w:r>
    </w:p>
    <w:p>
      <w:pPr>
        <w:pStyle w:val="ListBullet"/>
        <w:keepLines w:val="1"/>
        <w:keepNext w:val="1"/>
        <w:widowControl w:val="1"/>
      </w:pPr>
      <w:r>
        <w:t xml:space="preserve">Predictivo (3): Es moderadamente útil para anticipar incidentes, pero no distingue bien entre vulnerabilidades explotables y meramente teóricas. [web:1][web:16]  </w:t>
      </w:r>
    </w:p>
    <w:p>
      <w:pPr>
        <w:pStyle w:val="ListBullet"/>
        <w:keepLines w:val="1"/>
        <w:keepNext w:val="1"/>
        <w:widowControl w:val="1"/>
      </w:pPr>
      <w:r>
        <w:t xml:space="preserve">Relevante (4) y Accionable (4): Muy comprensible y fácil de utilizar para priorizar campañas de parcheo y endurecimiento de superficie de ataque. [web:22]  </w:t>
      </w:r>
    </w:p>
    <w:p>
      <w:pPr>
        <w:pStyle w:val="ListBullet"/>
        <w:keepLines w:val="1"/>
        <w:keepNext w:val="1"/>
        <w:widowControl w:val="1"/>
      </w:pPr>
      <w:r>
        <w:t xml:space="preserve">Genuino (3): Susceptible a cierto gaming (ocultar exposición, reclasificar activos), pero razonablemente honesto si la gestión de activos es madura.  </w:t>
      </w:r>
    </w:p>
    <w:p>
      <w:pPr>
        <w:pStyle w:val="ListBullet"/>
        <w:keepLines w:val="1"/>
        <w:keepNext w:val="1"/>
        <w:widowControl w:val="1"/>
      </w:pPr>
      <w:r>
        <w:t xml:space="preserve">Significativo (4): Se explica fácil a políticos: “X % de los sistemas expuestos tienen agujeros graves”.  </w:t>
      </w:r>
    </w:p>
    <w:p>
      <w:pPr>
        <w:pStyle w:val="ListBullet"/>
        <w:keepLines w:val="1"/>
        <w:keepNext w:val="1"/>
        <w:widowControl w:val="1"/>
      </w:pPr>
      <w:r>
        <w:t xml:space="preserve">Preciso (3): Depende de inventarios de activos y calidad de los escaneos; precisión media.  </w:t>
      </w:r>
    </w:p>
    <w:p>
      <w:pPr>
        <w:pStyle w:val="ListBullet"/>
        <w:keepLines w:val="1"/>
        <w:keepNext w:val="1"/>
        <w:widowControl w:val="1"/>
      </w:pPr>
      <w:r>
        <w:t xml:space="preserve">Oportuno (4): Puede actualizarse con frecuencia (mensual, incluso semanal) si la infraestructura técnica está disponible.  </w:t>
      </w:r>
    </w:p>
    <w:p>
      <w:pPr>
        <w:pStyle w:val="ListBullet"/>
        <w:keepLines w:val="1"/>
        <w:keepNext w:val="1"/>
        <w:widowControl w:val="1"/>
      </w:pPr>
      <w:r>
        <w:t xml:space="preserve">Independiente (3): Relativamente independiente, pero se apoya en procesos de gestión de activos gestionados por las mismas entidades que se miden.  </w:t>
      </w:r>
    </w:p>
    <w:p>
      <w:pPr>
        <w:pStyle w:val="ListBullet"/>
        <w:keepLines w:val="1"/>
        <w:widowControl w:val="1"/>
      </w:pPr>
      <w:r>
        <w:t xml:space="preserve">Rentable (4): Si ya existen escaneos y CMDB, el coste marginal es bajo.  </w:t>
      </w:r>
    </w:p>
    <w:p>
      <w:pPr>
        <w:pStyle w:val="Heading3"/>
        <w:keepNext/>
        <w:keepLines/>
      </w:pPr>
      <w:r>
        <w:t>M2 – Tiempo medio de mitigación de vulnerabilidades explotadas activamente</w:t>
      </w:r>
    </w:p>
    <w:p>
      <w:pPr>
        <w:pStyle w:val="ListBullet"/>
        <w:keepLines w:val="1"/>
        <w:keepNext w:val="1"/>
        <w:widowControl w:val="1"/>
      </w:pPr>
      <w:r>
        <w:t xml:space="preserve">Predictivo (5): Una ventana de exposición larga ante vulnerabilidades explotadas es una señal muy fuerte de futuros incidentes graves. [web:1][web:7][web:13]  </w:t>
      </w:r>
    </w:p>
    <w:p>
      <w:pPr>
        <w:pStyle w:val="ListBullet"/>
        <w:keepLines w:val="1"/>
        <w:keepNext w:val="1"/>
        <w:widowControl w:val="1"/>
      </w:pPr>
      <w:r>
        <w:t xml:space="preserve">Relevante (5) y Accionable (5): Directamente conectada con obligaciones de diligencia y expectativas regulatorias; mejora tiempos de respuesta. [web:7][web:13]  </w:t>
      </w:r>
    </w:p>
    <w:p>
      <w:pPr>
        <w:pStyle w:val="ListBullet"/>
        <w:keepLines w:val="1"/>
        <w:keepNext w:val="1"/>
        <w:widowControl w:val="1"/>
      </w:pPr>
      <w:r>
        <w:t xml:space="preserve">Genuino (4): Difícil de maquillar sin dejar huella, aunque existen tentaciones de “ajustar fechas”.  </w:t>
      </w:r>
    </w:p>
    <w:p>
      <w:pPr>
        <w:pStyle w:val="ListBullet"/>
        <w:keepLines w:val="1"/>
        <w:keepNext w:val="1"/>
        <w:widowControl w:val="1"/>
      </w:pPr>
      <w:r>
        <w:t xml:space="preserve">Significativo (4): Fácil de entender: “tardamos X días en cerrar puertas que los atacantes ya están usando”.  </w:t>
      </w:r>
    </w:p>
    <w:p>
      <w:pPr>
        <w:pStyle w:val="ListBullet"/>
        <w:keepLines w:val="1"/>
        <w:keepNext w:val="1"/>
        <w:widowControl w:val="1"/>
      </w:pPr>
      <w:r>
        <w:t xml:space="preserve">Preciso (3): Requiere buena gestión de tiempos de detección, notificación y cierre; la precisión puede sufrir en entornos complejos.  </w:t>
      </w:r>
    </w:p>
    <w:p>
      <w:pPr>
        <w:pStyle w:val="ListBullet"/>
        <w:keepLines w:val="1"/>
        <w:keepNext w:val="1"/>
        <w:widowControl w:val="1"/>
      </w:pPr>
      <w:r>
        <w:t xml:space="preserve">Oportuno (3): Supone consolidar datos de varias fuentes; razonable trimestralmente.  </w:t>
      </w:r>
    </w:p>
    <w:p>
      <w:pPr>
        <w:pStyle w:val="ListBullet"/>
        <w:keepLines w:val="1"/>
        <w:keepNext w:val="1"/>
        <w:widowControl w:val="1"/>
      </w:pPr>
      <w:r>
        <w:t xml:space="preserve">Independiente (4): Puede calcularse de forma centralizada, cruzando EUVD, CSIRTs y datos de remediación. [web:7][web:13]  </w:t>
      </w:r>
    </w:p>
    <w:p>
      <w:pPr>
        <w:pStyle w:val="ListBullet"/>
        <w:keepLines w:val="1"/>
        <w:widowControl w:val="1"/>
      </w:pPr>
      <w:r>
        <w:t xml:space="preserve">Rentable (3): Tiene cierto coste de integración de datos, pero su valor estratégico compensa.  </w:t>
      </w:r>
    </w:p>
    <w:p>
      <w:pPr>
        <w:pStyle w:val="Heading3"/>
        <w:keepNext/>
        <w:keepLines/>
      </w:pPr>
      <w:r>
        <w:t>M3 – Proporción de vulnerabilidades críticas en servicios esenciales sin mitigación en plazo</w:t>
      </w:r>
    </w:p>
    <w:p>
      <w:pPr>
        <w:pStyle w:val="ListBullet"/>
        <w:keepLines w:val="1"/>
        <w:keepNext w:val="1"/>
        <w:widowControl w:val="1"/>
      </w:pPr>
      <w:r>
        <w:t xml:space="preserve">Predictivo (5): Directamente asociada al riesgo de interrupciones en servicios esenciales y cumplimientos regulatorios. [web:7][web:10][web:12]  </w:t>
      </w:r>
    </w:p>
    <w:p>
      <w:pPr>
        <w:pStyle w:val="ListBullet"/>
        <w:keepLines w:val="1"/>
        <w:keepNext w:val="1"/>
        <w:widowControl w:val="1"/>
      </w:pPr>
      <w:r>
        <w:t xml:space="preserve">Relevante (5) y Accionable (5): Perfecta para priorizar inversiones, auditorías y refuerzos en infraestructuras críticas.  </w:t>
      </w:r>
    </w:p>
    <w:p>
      <w:pPr>
        <w:pStyle w:val="ListBullet"/>
        <w:keepLines w:val="1"/>
        <w:keepNext w:val="1"/>
        <w:widowControl w:val="1"/>
      </w:pPr>
      <w:r>
        <w:t xml:space="preserve">Genuino (4): Difícil de manipular sin colisión con auditorías y supervisores sectoriales.  </w:t>
      </w:r>
    </w:p>
    <w:p>
      <w:pPr>
        <w:pStyle w:val="ListBullet"/>
        <w:keepLines w:val="1"/>
        <w:keepNext w:val="1"/>
        <w:widowControl w:val="1"/>
      </w:pPr>
      <w:r>
        <w:t xml:space="preserve">Significativo (5): Traduce el riesgo técnico a un mensaje muy claro: “tenemos X bombas de relojería sin desactivar en servicios esenciales”.  </w:t>
      </w:r>
    </w:p>
    <w:p>
      <w:pPr>
        <w:pStyle w:val="ListBullet"/>
        <w:keepLines w:val="1"/>
        <w:keepNext w:val="1"/>
        <w:widowControl w:val="1"/>
      </w:pPr>
      <w:r>
        <w:t xml:space="preserve">Preciso (3): Depende de buena clasificación de servicios esenciales, scoring Environmental coherente y definición de “plazo”. [web:1][web:22]  </w:t>
      </w:r>
    </w:p>
    <w:p>
      <w:pPr>
        <w:pStyle w:val="ListBullet"/>
        <w:keepLines w:val="1"/>
        <w:keepNext w:val="1"/>
        <w:widowControl w:val="1"/>
      </w:pPr>
      <w:r>
        <w:t xml:space="preserve">Oportuno (3): Datos más estables; actualización trimestral o semestral.  </w:t>
      </w:r>
    </w:p>
    <w:p>
      <w:pPr>
        <w:pStyle w:val="ListBullet"/>
        <w:keepLines w:val="1"/>
        <w:keepNext w:val="1"/>
        <w:widowControl w:val="1"/>
      </w:pPr>
      <w:r>
        <w:t xml:space="preserve">Independiente (4): Puede ser calculada por entidades supervisoras a partir de reporting de operadores.  </w:t>
      </w:r>
    </w:p>
    <w:p>
      <w:pPr>
        <w:pStyle w:val="ListBullet"/>
        <w:keepLines w:val="1"/>
        <w:widowControl w:val="1"/>
      </w:pPr>
      <w:r>
        <w:t xml:space="preserve">Rentable (3): Requiere marcos de reporting, pero se apoya en obligaciones ya existentes (NIS2, sectoriales). [web:7][web:13]  </w:t>
      </w:r>
    </w:p>
    <w:p>
      <w:pPr>
        <w:pStyle w:val="Heading3"/>
        <w:keepNext/>
        <w:keepLines/>
      </w:pPr>
      <w:r>
        <w:t>M4 – Índice de cobertura de evaluación CVSS v4.0</w:t>
      </w:r>
    </w:p>
    <w:p>
      <w:pPr>
        <w:pStyle w:val="ListBullet"/>
        <w:keepLines w:val="1"/>
        <w:keepNext w:val="1"/>
        <w:widowControl w:val="1"/>
      </w:pPr>
      <w:r>
        <w:t xml:space="preserve">Predictivo (3): Más que predecir, mide capacidad de observación; su efecto predictivo es indirecto.  </w:t>
      </w:r>
    </w:p>
    <w:p>
      <w:pPr>
        <w:pStyle w:val="ListBullet"/>
        <w:keepLines w:val="1"/>
        <w:keepNext w:val="1"/>
        <w:widowControl w:val="1"/>
      </w:pPr>
      <w:r>
        <w:t xml:space="preserve">Relevante (3): Importante para madurez de medición, menos inmediato para decisores.  </w:t>
      </w:r>
    </w:p>
    <w:p>
      <w:pPr>
        <w:pStyle w:val="ListBullet"/>
        <w:keepLines w:val="1"/>
        <w:keepNext w:val="1"/>
        <w:widowControl w:val="1"/>
      </w:pPr>
      <w:r>
        <w:t xml:space="preserve">Accionable (3): Sugiere invertir en capacidades de scoring, pero sin acciones inmediatas sobre el riesgo. [web:28]  </w:t>
      </w:r>
    </w:p>
    <w:p>
      <w:pPr>
        <w:pStyle w:val="ListBullet"/>
        <w:keepLines w:val="1"/>
        <w:keepNext w:val="1"/>
        <w:widowControl w:val="1"/>
      </w:pPr>
      <w:r>
        <w:t xml:space="preserve">Genuino (4): Difícil de maquillar si se cruzan fuentes independientes (EUVD, bases internas). [web:13]  </w:t>
      </w:r>
    </w:p>
    <w:p>
      <w:pPr>
        <w:pStyle w:val="ListBullet"/>
        <w:keepLines w:val="1"/>
        <w:keepNext w:val="1"/>
        <w:widowControl w:val="1"/>
      </w:pPr>
      <w:r>
        <w:t xml:space="preserve">Significativo (3): Se puede explicar, pero puede parecer un KPI “de técnicos para técnicos”.  </w:t>
      </w:r>
    </w:p>
    <w:p>
      <w:pPr>
        <w:pStyle w:val="ListBullet"/>
        <w:keepLines w:val="1"/>
        <w:keepNext w:val="1"/>
        <w:widowControl w:val="1"/>
      </w:pPr>
      <w:r>
        <w:t xml:space="preserve">Preciso (4): Fácil de contar: o hay scoring v4.0 completo o no lo hay. [web:1]  </w:t>
      </w:r>
    </w:p>
    <w:p>
      <w:pPr>
        <w:pStyle w:val="ListBullet"/>
        <w:keepLines w:val="1"/>
        <w:keepNext w:val="1"/>
        <w:widowControl w:val="1"/>
      </w:pPr>
      <w:r>
        <w:t xml:space="preserve">Oportuno (2): Cambia lentamente; anual o semestral.  </w:t>
      </w:r>
    </w:p>
    <w:p>
      <w:pPr>
        <w:pStyle w:val="ListBullet"/>
        <w:keepLines w:val="1"/>
        <w:keepNext w:val="1"/>
        <w:widowControl w:val="1"/>
      </w:pPr>
      <w:r>
        <w:t xml:space="preserve">Independiente (4): Puede calcularse sin depender de decisiones coyunturales de negocio.  </w:t>
      </w:r>
    </w:p>
    <w:p>
      <w:pPr>
        <w:pStyle w:val="ListBullet"/>
        <w:keepLines w:val="1"/>
        <w:widowControl w:val="1"/>
      </w:pPr>
      <w:r>
        <w:t xml:space="preserve">Rentable (3): Coste bajo si hay integración razonable de fuentes.  </w:t>
      </w:r>
    </w:p>
    <w:p>
      <w:pPr>
        <w:pStyle w:val="Heading3"/>
        <w:keepNext/>
        <w:keepLines/>
      </w:pPr>
      <w:r>
        <w:t>M5 – Índice de alineamiento regulatorio NIS2–CVSS</w:t>
      </w:r>
    </w:p>
    <w:p>
      <w:pPr>
        <w:pStyle w:val="ListBullet"/>
        <w:keepLines w:val="1"/>
        <w:keepNext w:val="1"/>
        <w:widowControl w:val="1"/>
      </w:pPr>
      <w:r>
        <w:t xml:space="preserve">Predictivo (4): Mayor alineamiento suele correlacionar con mejor gestión del riesgo y menor exposición a sanciones. [web:7][web:13]  </w:t>
      </w:r>
    </w:p>
    <w:p>
      <w:pPr>
        <w:pStyle w:val="ListBullet"/>
        <w:keepLines w:val="1"/>
        <w:keepNext w:val="1"/>
        <w:widowControl w:val="1"/>
      </w:pPr>
      <w:r>
        <w:t xml:space="preserve">Relevante (5): Directamente vinculado a capacidad de cumplimiento y reporting a autoridades.  </w:t>
      </w:r>
    </w:p>
    <w:p>
      <w:pPr>
        <w:pStyle w:val="ListBullet"/>
        <w:keepLines w:val="1"/>
        <w:keepNext w:val="1"/>
        <w:widowControl w:val="1"/>
      </w:pPr>
      <w:r>
        <w:t xml:space="preserve">Accionable (4): Permite priorizar sectores o entidades con baja trazabilidad CVSS–incidente.  </w:t>
      </w:r>
    </w:p>
    <w:p>
      <w:pPr>
        <w:pStyle w:val="ListBullet"/>
        <w:keepLines w:val="1"/>
        <w:keepNext w:val="1"/>
        <w:widowControl w:val="1"/>
      </w:pPr>
      <w:r>
        <w:t xml:space="preserve">Genuino (3): Existe riesgo de reporting complaciente si no se audita.  </w:t>
      </w:r>
    </w:p>
    <w:p>
      <w:pPr>
        <w:pStyle w:val="ListBullet"/>
        <w:keepLines w:val="1"/>
        <w:keepNext w:val="1"/>
        <w:widowControl w:val="1"/>
      </w:pPr>
      <w:r>
        <w:t xml:space="preserve">Significativo (4): Muy comunicable a nivel regulador (“X % de incidentes están trazados a métricas CVSS sólidas”).  </w:t>
      </w:r>
    </w:p>
    <w:p>
      <w:pPr>
        <w:pStyle w:val="ListBullet"/>
        <w:keepLines w:val="1"/>
        <w:keepNext w:val="1"/>
        <w:widowControl w:val="1"/>
      </w:pPr>
      <w:r>
        <w:t xml:space="preserve">Preciso (2): Depende de definiciones y modelos de datos; potencial de ambigüedad.  </w:t>
      </w:r>
    </w:p>
    <w:p>
      <w:pPr>
        <w:pStyle w:val="ListBullet"/>
        <w:keepLines w:val="1"/>
        <w:keepNext w:val="1"/>
        <w:widowControl w:val="1"/>
      </w:pPr>
      <w:r>
        <w:t xml:space="preserve">Oportuno (2): Suele actualizarse en ciclos largos de reporting (anual).  </w:t>
      </w:r>
    </w:p>
    <w:p>
      <w:pPr>
        <w:pStyle w:val="ListBullet"/>
        <w:keepLines w:val="1"/>
        <w:keepNext w:val="1"/>
        <w:widowControl w:val="1"/>
      </w:pPr>
      <w:r>
        <w:t xml:space="preserve">Independiente (3): Depende parcialmente de cómo se diseñen los procesos de notificación.  </w:t>
      </w:r>
    </w:p>
    <w:p>
      <w:pPr>
        <w:pStyle w:val="ListBullet"/>
        <w:keepLines w:val="1"/>
        <w:widowControl w:val="1"/>
      </w:pPr>
      <w:r>
        <w:t xml:space="preserve">Rentable (2): Requiere ajustes en sistemas de reporting y puede ser costoso para operadores más pequeños.  </w:t>
      </w:r>
    </w:p>
    <w:p>
      <w:pPr>
        <w:pStyle w:val="Heading2"/>
        <w:keepNext/>
        <w:keepLines/>
      </w:pPr>
      <w:r>
        <w:rPr>
          <w:color w:val="0066CC"/>
        </w:rPr>
        <w:t>5. Uso de la matriz PRAGMATIC</w:t>
      </w:r>
    </w:p>
    <w:p>
      <w:r>
        <w:t>La matriz sirve para:</w:t>
      </w:r>
    </w:p>
    <w:p>
      <w:pPr>
        <w:pStyle w:val="ListBullet"/>
        <w:keepLines w:val="1"/>
        <w:keepNext w:val="1"/>
        <w:widowControl w:val="1"/>
      </w:pPr>
      <w:r>
        <w:t xml:space="preserve">Priorizar qué métricas deben entrar en el cuadro de mando nacional.  </w:t>
      </w:r>
    </w:p>
    <w:p>
      <w:pPr>
        <w:pStyle w:val="ListBullet"/>
        <w:keepLines w:val="1"/>
        <w:keepNext w:val="1"/>
        <w:widowControl w:val="1"/>
      </w:pPr>
      <w:r>
        <w:t xml:space="preserve">Identificar métricas que requieren rediseño o simplificación.  </w:t>
      </w:r>
    </w:p>
    <w:p>
      <w:pPr>
        <w:pStyle w:val="ListBullet"/>
        <w:keepLines w:val="1"/>
        <w:widowControl w:val="1"/>
      </w:pPr>
      <w:r>
        <w:t xml:space="preserve">Justificar, frente a órganos de gobierno, por qué se adoptan unas métricas y no otras.  </w:t>
      </w:r>
    </w:p>
    <w:p>
      <w:r>
        <w:t xml:space="preserve">La matriz puede exportarse a Excel para facilitar cálculos, ponderaciones y visualización.  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