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(b) Guía metodológica detallada para la Encuesta CVSS 4.0 y Gestión de Vulnerabilidades</w:t>
      </w:r>
    </w:p>
    <w:p>
      <w:pPr>
        <w:pStyle w:val="Heading2"/>
        <w:keepNext/>
        <w:keepLines/>
      </w:pPr>
      <w:r>
        <w:rPr>
          <w:color w:val="0066CC"/>
        </w:rPr>
        <w:t>1. Objetivo general de la encuesta</w:t>
      </w:r>
    </w:p>
    <w:p>
      <w:r>
        <w:t>La encuesta tiene como objetivo medir el grado de adopción y uso avanzado de CVSS (especialmente CVSS 4.0) y de las prácticas de gestión de vulnerabilidades en organizaciones españolas, en el marco de las obligaciones y tendencias marcadas por NIS2 y el Cyber Resilience Act (CRA).[web:16][web:17][web:56][web:57]</w:t>
      </w:r>
    </w:p>
    <w:p>
      <w:r>
        <w:t>Se busca obtener información comparable y accionable que permita:</w:t>
      </w:r>
      <w:r/>
      <w:r>
        <w:br/>
        <w:t>- Construir indicadores de gestión de vulnerabilidades (IGM) a nivel nacional.[web:63]</w:t>
      </w:r>
      <w:r/>
      <w:r>
        <w:br/>
        <w:t>- Identificar brechas de madurez frente a las mejores prácticas recogidas en CVSS v4.0 (Base, Threat, Environmental, Supplemental).[web:16][web:55][web:58]</w:t>
      </w:r>
      <w:r/>
      <w:r>
        <w:br/>
        <w:t>- Evaluar hasta qué punto las organizaciones están alineando su gestión de vulnerabilidades con los requisitos normativos europeos (NIS2, CRA, otros).[web:56][web:57][web:61]</w:t>
      </w:r>
    </w:p>
    <w:p>
      <w:pPr>
        <w:pStyle w:val="Heading2"/>
        <w:keepNext/>
        <w:keepLines/>
      </w:pPr>
      <w:r>
        <w:rPr>
          <w:color w:val="0066CC"/>
        </w:rPr>
        <w:t>2. Población objetivo y muestra</w:t>
      </w:r>
    </w:p>
    <w:p>
      <w:pPr>
        <w:pStyle w:val="ListBullet"/>
        <w:keepLines w:val="1"/>
        <w:keepNext w:val="1"/>
        <w:widowControl w:val="1"/>
      </w:pPr>
      <w:r>
        <w:t>Población objetivo: organizaciones con presencia significativa en España (empresas privadas, entidades públicas, organizaciones del tercer sector) con un mínimo de capacidad TIC propia o externalizada.</w:t>
      </w:r>
    </w:p>
    <w:p>
      <w:pPr>
        <w:pStyle w:val="ListBullet"/>
        <w:keepLines w:val="1"/>
        <w:widowControl w:val="1"/>
      </w:pPr>
      <w:r>
        <w:t>Respondentes objetivo: CISO, CIO, CTO, responsables de seguridad, riesgo, continuidad o cumplimiento con visión transversal sobre la gestión de vulnerabilidades.</w:t>
      </w:r>
    </w:p>
    <w:p>
      <w:r>
        <w:t>Se recomienda:</w:t>
      </w:r>
      <w:r/>
      <w:r>
        <w:br/>
        <w:t>- Asegurar representación de sectores regulados (energía, transporte, salud, finanzas, administración pública) sujetos a NIS2.[web:56][web:61][web:64]</w:t>
      </w:r>
      <w:r/>
      <w:r>
        <w:br/>
        <w:t>- Incluir tanto grandes organizaciones como pymes, para captar diferencias de capacidad y enfoque.</w:t>
      </w:r>
    </w:p>
    <w:p>
      <w:pPr>
        <w:pStyle w:val="Heading2"/>
        <w:keepNext/>
        <w:keepLines/>
      </w:pPr>
      <w:r>
        <w:rPr>
          <w:color w:val="0066CC"/>
        </w:rPr>
        <w:t>3. Estructura de la encuesta</w:t>
      </w:r>
    </w:p>
    <w:p>
      <w:r>
        <w:t>La encuesta se estructura en 12 bloques:</w:t>
      </w:r>
      <w:r/>
      <w:r>
        <w:br/>
        <w:t>1. Información general de la organización.</w:t>
      </w:r>
      <w:r/>
      <w:r>
        <w:br/>
        <w:t>2. Madurez general en gestión de vulnerabilidades.</w:t>
      </w:r>
      <w:r/>
      <w:r>
        <w:br/>
        <w:t>3. Uso de CVSS.</w:t>
      </w:r>
      <w:r/>
      <w:r>
        <w:br/>
        <w:t>4. Adopción de CVSS 4.0 y métricas Base.</w:t>
      </w:r>
      <w:r/>
      <w:r>
        <w:br/>
        <w:t>5. Métricas Threat y explotación real.</w:t>
      </w:r>
      <w:r/>
      <w:r>
        <w:br/>
        <w:t>6. Métricas Environmental y criticidad local.</w:t>
      </w:r>
      <w:r/>
      <w:r>
        <w:br/>
        <w:t>7. Métricas Supplemental.</w:t>
      </w:r>
      <w:r/>
      <w:r>
        <w:br/>
        <w:t>8. Integración con marcos normativos.</w:t>
      </w:r>
      <w:r/>
      <w:r>
        <w:br/>
        <w:t>9. Indicadores de gestión (IGM).</w:t>
      </w:r>
      <w:r/>
      <w:r>
        <w:br/>
        <w:t>10. ROI y percepción de valor.</w:t>
      </w:r>
      <w:r/>
      <w:r>
        <w:br/>
        <w:t>11. Perspectiva estratégica y de futuro.</w:t>
      </w:r>
      <w:r/>
      <w:r>
        <w:br/>
        <w:t>12. Comentarios cualitativos.</w:t>
      </w:r>
    </w:p>
    <w:p>
      <w:pPr>
        <w:pStyle w:val="Heading2"/>
        <w:keepNext/>
        <w:keepLines/>
      </w:pPr>
      <w:r>
        <w:rPr>
          <w:color w:val="0066CC"/>
        </w:rPr>
        <w:t>4. Tipo de preguntas y escalas de respuesta</w:t>
      </w:r>
    </w:p>
    <w:p>
      <w:r>
        <w:t>Se utilizan principalmente:</w:t>
      </w:r>
      <w:r/>
      <w:r>
        <w:br/>
        <w:t>- Preguntas de selección única: adecuadas para clasificar el nivel de adopción o la existencia de prácticas.</w:t>
      </w:r>
      <w:r/>
      <w:r>
        <w:br/>
        <w:t>- Preguntas de selección múltiple: para capturar variedad de prácticas y fuentes de información.</w:t>
      </w:r>
      <w:r/>
      <w:r>
        <w:br/>
        <w:t>- Escalas tipo Likert (1–5) o gradientes de madurez, que facilitan construcción de índices y comparación inter-organizacional.</w:t>
      </w:r>
      <w:r/>
      <w:r>
        <w:br/>
        <w:t>- Preguntas abiertas controladas, para recoger matices cualitativos.</w:t>
      </w:r>
    </w:p>
    <w:p>
      <w:pPr>
        <w:pStyle w:val="Heading2"/>
        <w:keepNext/>
        <w:keepLines/>
      </w:pPr>
      <w:r>
        <w:rPr>
          <w:color w:val="0066CC"/>
        </w:rPr>
        <w:t>5. Construcción de índices de madurez (IGM)</w:t>
      </w:r>
    </w:p>
    <w:p>
      <w:r>
        <w:t xml:space="preserve">Se recomienda definir uno o varios </w:t>
      </w:r>
      <w:r>
        <w:rPr>
          <w:b/>
        </w:rPr>
        <w:t>Índices Globales de Madurez (IGM)</w:t>
      </w:r>
      <w:r>
        <w:t xml:space="preserve"> a partir de las respuestas, por ejemplo:</w:t>
      </w:r>
    </w:p>
    <w:p>
      <w:pPr>
        <w:pStyle w:val="Heading3"/>
        <w:keepNext/>
        <w:keepLines/>
      </w:pPr>
      <w:r>
        <w:t>5.1. IGM-CVSS (Índice de madurez en uso de CVSS)</w:t>
      </w:r>
    </w:p>
    <w:p>
      <w:r>
        <w:t>Componentes sugeridos:</w:t>
      </w:r>
      <w:r/>
      <w:r>
        <w:br/>
        <w:t>- Uso sistemático de CVSS (pregunta 3.1).</w:t>
      </w:r>
      <w:r/>
      <w:r>
        <w:br/>
        <w:t>- Versión/es utilizada/s (3.2) con mayor peso para adopción de CVSS 4.0.[web:16][web:55]</w:t>
      </w:r>
      <w:r/>
      <w:r>
        <w:br/>
        <w:t>- Revisión y recalculado de métricas Base (4.3, 4.4).[web:17][web:63]</w:t>
      </w:r>
      <w:r/>
      <w:r>
        <w:br/>
        <w:t>- Uso de métricas Threat y Environmental (5.1, 6.1).[web:16][web:17]</w:t>
      </w:r>
      <w:r/>
      <w:r>
        <w:br/>
        <w:t>- Conocimiento y utilización de métricas Supplemental (7.1–7.5).[web:55][web:58]</w:t>
      </w:r>
    </w:p>
    <w:p>
      <w:r>
        <w:t>Cada ítem puede normalizarse a una escala 0–1 y promediarse ponderando según relevancia.</w:t>
      </w:r>
    </w:p>
    <w:p>
      <w:pPr>
        <w:pStyle w:val="Heading3"/>
        <w:keepNext/>
        <w:keepLines/>
      </w:pPr>
      <w:r>
        <w:t>5.2. IGM-GV (Índice de madurez en gestión de vulnerabilidades)</w:t>
      </w:r>
    </w:p>
    <w:p>
      <w:r>
        <w:t>Componentes sugeridos:</w:t>
      </w:r>
      <w:r/>
      <w:r>
        <w:br/>
        <w:t>- Existencia de proceso formal de gestión de vulnerabilidades (2.1).[web:63]</w:t>
      </w:r>
      <w:r/>
      <w:r>
        <w:br/>
        <w:t>- Frecuencia de identificación de vulnerabilidades (2.2).</w:t>
      </w:r>
      <w:r/>
      <w:r>
        <w:br/>
        <w:t>- Uso de múltiples fuentes (2.3).</w:t>
      </w:r>
      <w:r/>
      <w:r>
        <w:br/>
        <w:t>- Uso de indicadores cuantitativos y KPIs (9.1, 9.2).[web:61]</w:t>
      </w:r>
      <w:r/>
      <w:r>
        <w:br/>
        <w:t>- Periodicidad del reporte a la dirección (9.3).[web:61]</w:t>
      </w:r>
    </w:p>
    <w:p>
      <w:pPr>
        <w:pStyle w:val="Heading3"/>
        <w:keepNext/>
        <w:keepLines/>
      </w:pPr>
      <w:r>
        <w:t>5.3. IGM-Norm (Índice de alineamiento normativo)</w:t>
      </w:r>
    </w:p>
    <w:p>
      <w:r>
        <w:t>Componentes sugeridos:</w:t>
      </w:r>
      <w:r/>
      <w:r>
        <w:br/>
        <w:t>- Sujeción a NIS2 y/o CRA (8.1, 8.3).[web:56][web:57][web:62]</w:t>
      </w:r>
      <w:r/>
      <w:r>
        <w:br/>
        <w:t>- Uso de CVSS para demostrar cumplimiento (8.2).</w:t>
      </w:r>
      <w:r/>
      <w:r>
        <w:br/>
        <w:t>- Existencia de procesos de vulnerability handling y coordinated vulnerability disclosure (8.4).[web:56][web:57]</w:t>
      </w:r>
    </w:p>
    <w:p>
      <w:pPr>
        <w:pStyle w:val="Heading3"/>
        <w:keepNext/>
        <w:keepLines/>
      </w:pPr>
      <w:r>
        <w:t>5.4. Construcción práctica</w:t>
      </w:r>
    </w:p>
    <w:p>
      <w:r>
        <w:t>La plantilla Excel propuesta en el documento (e) permitirá:</w:t>
      </w:r>
      <w:r/>
      <w:r>
        <w:br/>
        <w:t>- Asignar puntuaciones numéricas a cada opción.</w:t>
      </w:r>
      <w:r/>
      <w:r>
        <w:br/>
        <w:t>- Calcular automáticamente los índices por organización.</w:t>
      </w:r>
      <w:r/>
      <w:r>
        <w:br/>
        <w:t>- Generar estadísticas descriptivas (media, mediana, cuartiles) y segmentaciones.</w:t>
      </w:r>
    </w:p>
    <w:p>
      <w:pPr>
        <w:pStyle w:val="Heading2"/>
        <w:keepNext/>
        <w:keepLines/>
      </w:pPr>
      <w:r>
        <w:rPr>
          <w:color w:val="0066CC"/>
        </w:rPr>
        <w:t>6. Validez y confiabilidad</w:t>
      </w:r>
    </w:p>
    <w:p>
      <w:pPr>
        <w:pStyle w:val="ListBullet"/>
        <w:keepLines w:val="1"/>
        <w:keepNext w:val="1"/>
        <w:widowControl w:val="1"/>
      </w:pPr>
      <w:r>
        <w:t>Piloto: se recomienda realizar un piloto con 5–10 organizaciones de diferentes sectores, para validar la claridad de las preguntas y la relevancia de las escalas.</w:t>
      </w:r>
    </w:p>
    <w:p>
      <w:pPr>
        <w:pStyle w:val="ListBullet"/>
        <w:keepLines w:val="1"/>
        <w:keepNext w:val="1"/>
        <w:widowControl w:val="1"/>
      </w:pPr>
      <w:r>
        <w:t>Fiabilidad interna: para índices como IGM-CVSS o IGM-GV, evaluar la consistencia interna (por ejemplo, alfa de Cronbach) si el tamaño de la muestra lo permite.</w:t>
      </w:r>
    </w:p>
    <w:p>
      <w:pPr>
        <w:pStyle w:val="ListBullet"/>
        <w:keepLines w:val="1"/>
        <w:widowControl w:val="1"/>
      </w:pPr>
      <w:r>
        <w:t>Comparabilidad internacional: las preguntas están alineadas con la estructura de CVSS v4.0 y con requerimientos europeos, lo que facilita comparaciones con estudios similares en otros países.[web:16][web:17][web:56][web:57]</w:t>
      </w:r>
    </w:p>
    <w:p>
      <w:pPr>
        <w:pStyle w:val="Heading2"/>
        <w:keepNext/>
        <w:keepLines/>
      </w:pPr>
      <w:r>
        <w:rPr>
          <w:color w:val="0066CC"/>
        </w:rPr>
        <w:t>7. Consideraciones éticas y de confidencialidad</w:t>
      </w:r>
    </w:p>
    <w:p>
      <w:pPr>
        <w:pStyle w:val="ListBullet"/>
        <w:keepLines w:val="1"/>
        <w:keepNext w:val="1"/>
        <w:widowControl w:val="1"/>
      </w:pPr>
      <w:r>
        <w:t>Garantizar anonimato o seudonimización de respuestas.</w:t>
      </w:r>
    </w:p>
    <w:p>
      <w:pPr>
        <w:pStyle w:val="ListBullet"/>
        <w:keepLines w:val="1"/>
        <w:keepNext w:val="1"/>
        <w:widowControl w:val="1"/>
      </w:pPr>
      <w:r>
        <w:t>Comunicar claramente el propósito: mejora de la resiliencia y madurez, no “caza de brujas” regulatoria.</w:t>
      </w:r>
    </w:p>
    <w:p>
      <w:pPr>
        <w:pStyle w:val="ListBullet"/>
        <w:keepLines w:val="1"/>
        <w:widowControl w:val="1"/>
      </w:pPr>
      <w:r>
        <w:t>Asegurar que los datos se almacenan y procesan conforme a la normativa aplicable (RGPD, etc.).</w:t>
      </w:r>
    </w:p>
    <w:p>
      <w:pPr>
        <w:pStyle w:val="Heading2"/>
        <w:keepNext/>
        <w:keepLines/>
      </w:pPr>
      <w:r>
        <w:rPr>
          <w:color w:val="0066CC"/>
        </w:rPr>
        <w:t>8. Uso de los resultados</w:t>
      </w:r>
    </w:p>
    <w:p>
      <w:r>
        <w:t>Los resultados podrán utilizarse para:</w:t>
      </w:r>
      <w:r/>
      <w:r>
        <w:br/>
        <w:t>- Elaborar informes sectoriales y comparativos de madurez.</w:t>
      </w:r>
      <w:r/>
      <w:r>
        <w:br/>
        <w:t>- Identificar necesidades de formación y apoyo (por ejemplo, en CVSS 4.0 o NIS2).[web:58][web:63]</w:t>
      </w:r>
      <w:r/>
      <w:r>
        <w:br/>
        <w:t>- Fundamentar propuestas de políticas públicas o guías nacionales sobre gestión de vulnerabilidades.</w:t>
      </w:r>
      <w:r/>
      <w:r>
        <w:br/>
        <w:t>- Medir evolución temporal si la encuesta se repite (por ejemplo, anual).</w:t>
      </w:r>
    </w:p>
    <w:p>
      <w:r>
        <w:t>La narrativa explicativa (documento (c)) y el reporte ejecutivo (documento (f)) ofrecen plantillas para comunicar los resultados a diferentes audiencias.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