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 de preguntas GQM a requisitos normativos</w:t>
      </w:r>
    </w:p>
    <w:p>
      <w:r>
        <w:t xml:space="preserve">Este documento vincula las preguntas GQM asociadas a los indicadores M1–M5 con requisitos normativos relevantes (NIS2, obligaciones de notificación y estrategias nacionales). [web:7][web:13][web:12]  </w:t>
      </w:r>
    </w:p>
    <w:p>
      <w:pPr>
        <w:pStyle w:val="Heading2"/>
        <w:keepNext/>
        <w:keepLines/>
      </w:pPr>
      <w:r>
        <w:rPr>
          <w:color w:val="0066CC"/>
        </w:rPr>
        <w:t>1. Tabla de mapeo GQM–Normativa</w:t>
      </w:r>
    </w:p>
    <w:p>
      <w:pPr>
        <w:pStyle w:val="Heading3"/>
        <w:keepNext/>
        <w:keepLines/>
      </w:pPr>
      <w:r>
        <w:t>Leyenda de objetivos y métricas</w:t>
      </w:r>
    </w:p>
    <w:p>
      <w:pPr>
        <w:pStyle w:val="ListBullet"/>
        <w:keepLines w:val="1"/>
        <w:keepNext w:val="1"/>
        <w:widowControl w:val="1"/>
      </w:pPr>
      <w:r>
        <w:t xml:space="preserve">Objetivos: G1 (Exposición), G2 (Ventana explotable), G3 (Servicios esenciales), G4 (Alineamiento regulatorio).  </w:t>
      </w:r>
    </w:p>
    <w:p>
      <w:pPr>
        <w:pStyle w:val="ListBullet"/>
        <w:keepLines w:val="1"/>
        <w:widowControl w:val="1"/>
      </w:pPr>
      <w:r>
        <w:t xml:space="preserve">Métricas: M1–M5, según la matriz PRAGMATIC.  </w:t>
      </w:r>
    </w:p>
    <w:p>
      <w:pPr>
        <w:pStyle w:val="Heading3"/>
        <w:keepNext/>
        <w:keepLines/>
      </w:pPr>
      <w:r>
        <w:t>Tabla principal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 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GQM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GQM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Métrica(s) asociada(s)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 normativa UE / nacional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de alineamiento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Q1-G1-EXP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¿Cuál es la proporción de sistemas expuestos a Internet con vulnerabilidades de alta severidad según CVSS v4.0?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– obligaciones de gestión de riesgos y medidas técnicas organizativas; Estrategia Nacional de Ciberseguridad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La gestión de vulnerabilidades en sistemas expuestos es parte esencial de las medidas de seguridad exigidas. [web:7][web:12]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Q2-G1-SECT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¿Cómo se distribuye esa exposición crítica por sector y tipo de servicio (administración, sanidad, energía, etc.)?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– clasificación de entidades esenciales e importantes; normativa sectorial crítica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La diferenciación sectorial permite priorizar acciones conforme al impacto en servicios esenciales. [web:7][web:10][web:12]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Q1-G2-TIME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¿Cuál es el tiempo medio de mitigación de vulnerabilidades con Threat=Active o Mass en los sectores regulados?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– obligación de gestión continua de riesgos y respuesta a incidentes; guías ENISA sobre vulnerabilidades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La rapidez de mitigación de vulnerabilidades explotadas es un indicador directo de diligencia debida. [web:7][web:13]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Q2-G2-DEADLINE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¿Qué porcentaje de estas vulnerabilidades explotadas supera el plazo objetivo de mitigación definido por el regulador?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M2, M3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– obligaciones de medidas proporcionadas y continuas; normativa nacional sobre operadores críticos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Permite verificar el cumplimiento efectivo de plazos de mitigación establecidos en normativa o acuerdos sectoriales. [web:7][web:12]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Q1-G3-ESS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¿Qué porcentaje de vulnerabilidades críticas permanece sin mitigación en servicios esenciales más allá del plazo permitido?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– requisitos específicos para entidades esenciales; legislación sobre seguridad nacional e infraestructuras críticas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Conecta la gestión de vulnerabilidades con la continuidad de servicios esenciales y la seguridad nacional. [web:7][web:10][web:12]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Q2-G3-IMPACT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¿En qué medida estas vulnerabilidades afectan a sistemas cuyo fallo impactaría en la vida humana o la seguridad física?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NIS2; regulaciones sectoriales (sanidad, transporte, energía)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El uso de métricas Supplemental de CVSS v4.0 permite identificar impactos en safety y vida humana. [web:1][web:10]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Q1-G4-COVER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¿Qué porcentaje de vulnerabilidades relevantes para el país dispone de scoring CVSS v4.0 completo (Base, Threat, Environmental)?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– cooperación e intercambio de información; EUVD (ENISA)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La cobertura de scoring robusto es un prerrequisito para reporting significativo y coordinación transfronteriza. [web:7][web:13]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Q2-G4-TRACE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¿Qué porcentaje de incidentes notificados está vinculado explícitamente a métricas CVSS en el proceso de análisis y notificación?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– obligaciones de notificación de incidentes; directrices ENISA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Asegura coherencia entre la cuantificación de vulnerabilidades y la clasificación de incidentes comunicados a autoridades. [web:7][web:13]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Q3-G4-QUALITY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¿Hasta qué punto los procesos de scoring y reporting CVSS son auditables y consistentes entre operadores y sectores?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G4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M4, M5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NIS2; normativa nacional de supervisión y auditoría en ciberseguridad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La auditabilidad de las métricas CVSS se alinea con las exigencias de supervisión y sanción en caso de incumplimiento. [web:7][web:12]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2. Uso de este mapeo</w:t>
      </w:r>
    </w:p>
    <w:p>
      <w:r>
        <w:t>Esta tabla sirve para:</w:t>
      </w:r>
    </w:p>
    <w:p>
      <w:pPr>
        <w:pStyle w:val="ListBullet"/>
        <w:keepLines w:val="1"/>
        <w:keepNext w:val="1"/>
        <w:widowControl w:val="1"/>
      </w:pPr>
      <w:r>
        <w:t xml:space="preserve">Demostrar trazabilidad entre medición técnica y cumplimiento normativo.  </w:t>
      </w:r>
    </w:p>
    <w:p>
      <w:pPr>
        <w:pStyle w:val="ListBullet"/>
        <w:keepLines w:val="1"/>
        <w:keepNext w:val="1"/>
        <w:widowControl w:val="1"/>
      </w:pPr>
      <w:r>
        <w:t xml:space="preserve">Guiar la redacción de guías nacionales y sectoriales que exijan indicadores concretos.  </w:t>
      </w:r>
    </w:p>
    <w:p>
      <w:pPr>
        <w:pStyle w:val="ListBullet"/>
        <w:keepLines w:val="1"/>
        <w:widowControl w:val="1"/>
      </w:pPr>
      <w:r>
        <w:t xml:space="preserve">Priorizar el desarrollo de capacidades de datos donde la falta de métricas vulnera o debilita el cumplimiento de NIS2. [web:7][web:13]  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