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keepNext/>
        <w:keepLines/>
      </w:pPr>
      <w:r>
        <w:rPr>
          <w:color w:val="003366"/>
        </w:rPr>
        <w:t>(d) Mapeo detallado de preguntas a requisitos normativos (NIS2, CRA y buenas prácticas CVSS)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rPr>
          <w:cantSplit w:val="1"/>
        </w:trPr>
        <w:tc>
          <w:tcPr>
            <w:tcW w:type="dxa" w:w="1872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Bloque</w:t>
            </w:r>
          </w:p>
        </w:tc>
        <w:tc>
          <w:tcPr>
            <w:tcW w:type="dxa" w:w="1872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Pregunta</w:t>
            </w:r>
          </w:p>
        </w:tc>
        <w:tc>
          <w:tcPr>
            <w:tcW w:type="dxa" w:w="1872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Tema principal</w:t>
            </w:r>
          </w:p>
        </w:tc>
        <w:tc>
          <w:tcPr>
            <w:tcW w:type="dxa" w:w="1872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Referencia CVSS / Buenas prácticas</w:t>
            </w:r>
          </w:p>
        </w:tc>
        <w:tc>
          <w:tcPr>
            <w:tcW w:type="dxa" w:w="1872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Referencia NIS2 / CRA / otros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>
              <w:t>2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2.1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Proceso formal de gestión de vulnerabilidades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CVSS v4.0 User Guide: necesidad de procesos para enriquecer Base con Threat y Environmental[web:17][web:63]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NIS2: medidas de gestión de riesgos, vulnerability handling[web:56][web:61]; CRA: procesos documentados de vulnerability handling[web:57][web:62]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>
              <w:t>2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2.2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Frecuencia de identificación de vulnerabilidades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Buenas prácticas de gestión de vulnerabilidades (escaneos regulares)[web:63]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NIS2: evaluación continua de riesgos y vulnerabilidades[web:61][web:64]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>
              <w:t>2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2.3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Fuentes de información de vulnerabilidades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Uso de bases como NVD y CERT para métricas CVSS[web:53][web:63]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NIS2: intercambio de información y bases europeas de vulnerabilidades[web:56]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3.1–3.4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Uso de CVSS y responsabilidad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CVSS v4.0 Specification y User Guide: uso correcto de Base/Threat/Environmental[web:16][web:17][web:55]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CRA: necesidad de evaluar severidad de vulnerabilidades[web:57][web:62]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>
              <w:t>4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4.2–4.4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Adopción de CVSS 4.0 y métricas Base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Estructura y aplicación de métricas Base en CVSS 4.0[web:16][web:55][web:58]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Apoya cumplimiento general NIS2/CRA al mejorar clasificación de severidad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>
              <w:t>5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5.1–5.3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Threat / explotación activa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Uso de Threat Metrics para aproximarse al riesgo real[web:16][web:17][web:58]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NIS2 y CRA: reporte rápido y tratamiento de vulnerabilidades explotadas activamente[web:56][web:57][web:59]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>
              <w:t>6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6.1–6.3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Métricas Environmental / criticidad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Ajuste al entorno específico y activos críticos[web:16][web:17][web:63]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NIS2: enfoque basado en riesgo, continuidad, activos críticos[web:61][web:64]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>
              <w:t>7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7.1–7.5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Métricas Supplemental (Automatable, Safety, etc.)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CVSS 4.0 Supplemental metrics: automatización, seguridad física, recuperación[web:16][web:55][web:58]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CRA: impacto en seguridad de productos y usuarios; NIS2: resiliencia, continuidad[web:57][web:61]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>
              <w:t>8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8.1–8.4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Alineamiento con NIS2 y CRA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Uso de CVSS como soporte de evidencia y priorización[web:17][web:63]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NIS2: gestión de vulnerabilidades y reporting[web:56][web:61]; CRA: vulnerability handling y disclosure[web:57][web:59][web:62]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>
              <w:t>9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9.1–9.3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Indicadores y reporting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User Guide: CVSS-BTE como aproximación a riesgo y métricas asociadas[web:17][web:58]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NIS2: medición de eficacia y reporting a la dirección[web:61]; CRA: tiempos de respuesta[web:59]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>
              <w:t>10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10.1–10.3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ROI y percepción de valor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Buenas prácticas de gobierno de seguridad: vincular métricas técnicas a negocio[web:58]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NIS2: responsabilidad de la dirección y supervisión[web:61]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</w:pPr>
            <w:r>
              <w:t>11</w:t>
            </w:r>
          </w:p>
        </w:tc>
        <w:tc>
          <w:tcPr>
            <w:tcW w:type="dxa" w:w="1872"/>
          </w:tcPr>
          <w:p>
            <w:pPr>
              <w:keepLines w:val="1"/>
            </w:pPr>
            <w:r>
              <w:t>11.1–11.3</w:t>
            </w:r>
          </w:p>
        </w:tc>
        <w:tc>
          <w:tcPr>
            <w:tcW w:type="dxa" w:w="1872"/>
          </w:tcPr>
          <w:p>
            <w:pPr>
              <w:keepLines w:val="1"/>
            </w:pPr>
            <w:r>
              <w:t>Prioridad estratégica y barreras</w:t>
            </w:r>
          </w:p>
        </w:tc>
        <w:tc>
          <w:tcPr>
            <w:tcW w:type="dxa" w:w="1872"/>
          </w:tcPr>
          <w:p>
            <w:pPr>
              <w:keepLines w:val="1"/>
            </w:pPr>
            <w:r>
              <w:t>CVSS 4.0 como marco avanzado que requiere formación, herramientas y gobierno[web:16][web:58][web:63]</w:t>
            </w:r>
          </w:p>
        </w:tc>
        <w:tc>
          <w:tcPr>
            <w:tcW w:type="dxa" w:w="1872"/>
          </w:tcPr>
          <w:p>
            <w:pPr>
              <w:keepLines w:val="1"/>
            </w:pPr>
            <w:r>
              <w:t>NIS2/CRA: transición hacia seguridad por diseño y gestión continua de vulnerabilidades[web:56][web:57]</w:t>
            </w:r>
          </w:p>
        </w:tc>
      </w:tr>
    </w:tbl>
    <w:p/>
    <w:sectPr w:rsidR="00FC693F" w:rsidRPr="0006063C" w:rsidSect="00034616">
      <w:headerReference w:type="default" r:id="rId9"/>
      <w:pgSz w:w="12240" w:h="15840"/>
      <w:pgMar w:top="216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drawing>
        <wp:inline xmlns:a="http://schemas.openxmlformats.org/drawingml/2006/main" xmlns:pic="http://schemas.openxmlformats.org/drawingml/2006/picture">
          <wp:extent cx="5943600" cy="310597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INCIBE+UL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943600" cy="310597"/>
                  </a:xfrm>
                  <a:prstGeom prst="rect"/>
                </pic:spPr>
              </pic:pic>
            </a:graphicData>
          </a:graphic>
        </wp:inline>
      </w:drawing>
    </w:r>
  </w:p>
  <w:p>
    <w:pPr>
      <w:spacing w:after="120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