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Índice Global de Métricas (IGM) y ROI de iniciativas basadas en indicadores CVSS v4.0</w:t>
      </w:r>
    </w:p>
    <w:p>
      <w:r>
        <w:t>Esta plantilla describe la estructura de un libro Excel pensado para:</w:t>
      </w:r>
    </w:p>
    <w:p>
      <w:pPr>
        <w:pStyle w:val="ListNumber"/>
        <w:keepLines w:val="1"/>
        <w:keepNext w:val="1"/>
        <w:widowControl w:val="1"/>
      </w:pPr>
      <w:r>
        <w:t xml:space="preserve">Consolidar puntuaciones PRAGMATIC de múltiples métricas. [web:21][web:24][web:27]  </w:t>
      </w:r>
    </w:p>
    <w:p>
      <w:pPr>
        <w:pStyle w:val="ListNumber"/>
        <w:keepLines w:val="1"/>
        <w:keepNext w:val="1"/>
        <w:widowControl w:val="1"/>
      </w:pPr>
      <w:r>
        <w:t xml:space="preserve">Calcular un Índice Global de Métricas (IGM) por organismo/sector/CCAA.  </w:t>
      </w:r>
    </w:p>
    <w:p>
      <w:pPr>
        <w:pStyle w:val="ListNumber"/>
        <w:keepLines w:val="1"/>
        <w:widowControl w:val="1"/>
      </w:pPr>
      <w:r>
        <w:t xml:space="preserve">Estimar un ROI simplificado de iniciativas de mejora (proyectos, campañas) basadas en estas métricas.  </w:t>
      </w:r>
    </w:p>
    <w:p>
      <w:pPr>
        <w:pStyle w:val="Heading2"/>
        <w:keepNext/>
        <w:keepLines/>
      </w:pPr>
      <w:r>
        <w:rPr>
          <w:color w:val="0066CC"/>
        </w:rPr>
        <w:t>1. Hoja 1 – Métricas_PRAGMATIC</w:t>
      </w:r>
    </w:p>
    <w:p>
      <w:pPr>
        <w:pStyle w:val="Heading3"/>
        <w:keepNext/>
        <w:keepLines/>
      </w:pPr>
      <w:r>
        <w:t>Columnas</w:t>
      </w:r>
    </w:p>
    <w:p>
      <w:pPr>
        <w:pStyle w:val="ListBullet"/>
        <w:keepLines w:val="1"/>
        <w:keepNext w:val="1"/>
        <w:widowControl w:val="1"/>
      </w:pPr>
      <w:r>
        <w:t xml:space="preserve">A: Métrica_ID (p. ej. M1, M2, M3, …).  </w:t>
      </w:r>
    </w:p>
    <w:p>
      <w:pPr>
        <w:pStyle w:val="ListBullet"/>
        <w:keepLines w:val="1"/>
        <w:keepNext w:val="1"/>
        <w:widowControl w:val="1"/>
      </w:pPr>
      <w:r>
        <w:t xml:space="preserve">B: Descripción_métrica.  </w:t>
      </w:r>
    </w:p>
    <w:p>
      <w:pPr>
        <w:pStyle w:val="ListBullet"/>
        <w:keepLines w:val="1"/>
        <w:keepNext w:val="1"/>
        <w:widowControl w:val="1"/>
      </w:pPr>
      <w:r>
        <w:t xml:space="preserve">C: Sector/Ámbito (nacional, sanidad, energía, CCAA_X, etc.).  </w:t>
      </w:r>
    </w:p>
    <w:p>
      <w:pPr>
        <w:pStyle w:val="ListBullet"/>
        <w:keepLines w:val="1"/>
        <w:keepNext w:val="1"/>
        <w:widowControl w:val="1"/>
      </w:pPr>
      <w:r>
        <w:t xml:space="preserve">D: Predictivo (0–5).  </w:t>
      </w:r>
    </w:p>
    <w:p>
      <w:pPr>
        <w:pStyle w:val="ListBullet"/>
        <w:keepLines w:val="1"/>
        <w:keepNext w:val="1"/>
        <w:widowControl w:val="1"/>
      </w:pPr>
      <w:r>
        <w:t xml:space="preserve">E: Relevante (0–5).  </w:t>
      </w:r>
    </w:p>
    <w:p>
      <w:pPr>
        <w:pStyle w:val="ListBullet"/>
        <w:keepLines w:val="1"/>
        <w:keepNext w:val="1"/>
        <w:widowControl w:val="1"/>
      </w:pPr>
      <w:r>
        <w:t xml:space="preserve">F: Accionable (0–5).  </w:t>
      </w:r>
    </w:p>
    <w:p>
      <w:pPr>
        <w:pStyle w:val="ListBullet"/>
        <w:keepLines w:val="1"/>
        <w:keepNext w:val="1"/>
        <w:widowControl w:val="1"/>
      </w:pPr>
      <w:r>
        <w:t xml:space="preserve">G: Genuino (0–5).  </w:t>
      </w:r>
    </w:p>
    <w:p>
      <w:pPr>
        <w:pStyle w:val="ListBullet"/>
        <w:keepLines w:val="1"/>
        <w:keepNext w:val="1"/>
        <w:widowControl w:val="1"/>
      </w:pPr>
      <w:r>
        <w:t xml:space="preserve">H: Significativo (0–5).  </w:t>
      </w:r>
    </w:p>
    <w:p>
      <w:pPr>
        <w:pStyle w:val="ListBullet"/>
        <w:keepLines w:val="1"/>
        <w:keepNext w:val="1"/>
        <w:widowControl w:val="1"/>
      </w:pPr>
      <w:r>
        <w:t xml:space="preserve">I: Preciso (0–5).  </w:t>
      </w:r>
    </w:p>
    <w:p>
      <w:pPr>
        <w:pStyle w:val="ListBullet"/>
        <w:keepLines w:val="1"/>
        <w:keepNext w:val="1"/>
        <w:widowControl w:val="1"/>
      </w:pPr>
      <w:r>
        <w:t xml:space="preserve">J: Oportuno (0–5).  </w:t>
      </w:r>
    </w:p>
    <w:p>
      <w:pPr>
        <w:pStyle w:val="ListBullet"/>
        <w:keepLines w:val="1"/>
        <w:keepNext w:val="1"/>
        <w:widowControl w:val="1"/>
      </w:pPr>
      <w:r>
        <w:t xml:space="preserve">K: Independiente (0–5).  </w:t>
      </w:r>
    </w:p>
    <w:p>
      <w:pPr>
        <w:pStyle w:val="ListBullet"/>
        <w:keepLines w:val="1"/>
        <w:keepNext w:val="1"/>
        <w:widowControl w:val="1"/>
      </w:pPr>
      <w:r>
        <w:t xml:space="preserve">L: Rentable (0–5).  </w:t>
      </w:r>
    </w:p>
    <w:p>
      <w:pPr>
        <w:pStyle w:val="ListBullet"/>
        <w:keepLines w:val="1"/>
        <w:keepNext w:val="1"/>
        <w:widowControl w:val="1"/>
      </w:pPr>
      <w:r>
        <w:t xml:space="preserve">M: Total_PRAGMATIC (fórmula: suma D–L).  </w:t>
      </w:r>
    </w:p>
    <w:p>
      <w:pPr>
        <w:pStyle w:val="ListBullet"/>
        <w:keepLines w:val="1"/>
        <w:keepNext w:val="1"/>
        <w:widowControl w:val="1"/>
      </w:pPr>
      <w:r>
        <w:t xml:space="preserve">N: Peso_métrica (0–1, configurable según prioridad estratégica).  </w:t>
      </w:r>
    </w:p>
    <w:p>
      <w:pPr>
        <w:pStyle w:val="ListBullet"/>
        <w:keepLines w:val="1"/>
        <w:widowControl w:val="1"/>
      </w:pPr>
      <w:r>
        <w:t xml:space="preserve">O: Total_ponderado (fórmula: M * N).  </w:t>
      </w:r>
    </w:p>
    <w:p>
      <w:pPr>
        <w:pStyle w:val="Heading3"/>
        <w:keepNext/>
        <w:keepLines/>
      </w:pPr>
      <w:r>
        <w:t>Fórmulas sugeridas</w:t>
      </w:r>
    </w:p>
    <w:p>
      <w:pPr>
        <w:pStyle w:val="ListBullet"/>
        <w:keepLines w:val="1"/>
        <w:keepNext w:val="1"/>
        <w:widowControl w:val="1"/>
      </w:pPr>
      <w:r>
        <w:t xml:space="preserve">M2: =SUMA(D2:L2) </w:t>
      </w:r>
    </w:p>
    <w:p>
      <w:pPr>
        <w:pStyle w:val="ListBullet"/>
        <w:keepLines w:val="1"/>
        <w:widowControl w:val="1"/>
      </w:pPr>
      <w:r>
        <w:t xml:space="preserve">O2: =M2*N2 </w:t>
      </w:r>
    </w:p>
    <w:p>
      <w:r>
        <w:t xml:space="preserve">Se pueden definir rangos con formato condicional para resaltar métricas con bajo total PRAGMATIC o baja rentabilidad relativa.  </w:t>
      </w:r>
    </w:p>
    <w:p>
      <w:pPr>
        <w:pStyle w:val="Heading2"/>
        <w:keepNext/>
        <w:keepLines/>
      </w:pPr>
      <w:r>
        <w:rPr>
          <w:color w:val="0066CC"/>
        </w:rPr>
        <w:t>2. Hoja 2 – IGM_por_unidad</w:t>
      </w:r>
    </w:p>
    <w:p>
      <w:r>
        <w:t xml:space="preserve">El Índice Global de Métricas (IGM) pretende sintetizar, para cada unidad (ministerio, CCAA, operador), la “calidad” y “utilidad” de su sistema de métricas.  </w:t>
      </w:r>
    </w:p>
    <w:p>
      <w:pPr>
        <w:pStyle w:val="Heading3"/>
        <w:keepNext/>
        <w:keepLines/>
      </w:pPr>
      <w:r>
        <w:t>Columnas</w:t>
      </w:r>
    </w:p>
    <w:p>
      <w:pPr>
        <w:pStyle w:val="ListBullet"/>
        <w:keepLines w:val="1"/>
        <w:keepNext w:val="1"/>
        <w:widowControl w:val="1"/>
      </w:pPr>
      <w:r>
        <w:t xml:space="preserve">A: Unidad (p. ej. Ministerio de Sanidad, CCAA Galicia, Operadores Energía).  </w:t>
      </w:r>
    </w:p>
    <w:p>
      <w:pPr>
        <w:pStyle w:val="ListBullet"/>
        <w:keepLines w:val="1"/>
        <w:keepNext w:val="1"/>
        <w:widowControl w:val="1"/>
      </w:pPr>
      <w:r>
        <w:t xml:space="preserve">B: Métrica_ID (clave a Hoja 1).  </w:t>
      </w:r>
    </w:p>
    <w:p>
      <w:pPr>
        <w:pStyle w:val="ListBullet"/>
        <w:keepLines w:val="1"/>
        <w:keepNext w:val="1"/>
        <w:widowControl w:val="1"/>
      </w:pPr>
      <w:r>
        <w:t xml:space="preserve">C: Total_PRAGMATIC (traído por BUSCARV o XLOOKUP desde Hoja 1).  </w:t>
      </w:r>
    </w:p>
    <w:p>
      <w:pPr>
        <w:pStyle w:val="ListBullet"/>
        <w:keepLines w:val="1"/>
        <w:keepNext w:val="1"/>
        <w:widowControl w:val="1"/>
      </w:pPr>
      <w:r>
        <w:t xml:space="preserve">D: Peso_métrica_unidad (opcional, para ajustar relevancia local).  </w:t>
      </w:r>
    </w:p>
    <w:p>
      <w:pPr>
        <w:pStyle w:val="ListBullet"/>
        <w:keepLines w:val="1"/>
        <w:widowControl w:val="1"/>
      </w:pPr>
      <w:r>
        <w:t xml:space="preserve">E: Puntaje_ajustado (=C2*D2).  </w:t>
      </w:r>
    </w:p>
    <w:p>
      <w:pPr>
        <w:pStyle w:val="Heading3"/>
        <w:keepNext/>
        <w:keepLines/>
      </w:pPr>
      <w:r>
        <w:t>Cálculo de IGM</w:t>
      </w:r>
    </w:p>
    <w:p>
      <w:pPr>
        <w:pStyle w:val="ListBullet"/>
        <w:keepLines w:val="1"/>
        <w:widowControl w:val="1"/>
      </w:pPr>
      <w:r>
        <w:t>Para cada Unidad, el IGM se calcula como:</w:t>
      </w:r>
    </w:p>
    <w:p>
      <w:r>
        <w:rPr>
          <w:rFonts w:ascii="Courier New" w:hAnsi="Courier New"/>
          <w:sz w:val="18"/>
        </w:rPr>
        <w:t>IGM_Unidad = (SUMA de Puntaje_ajustado de todas las métricas de la unidad) / (Máximo teórico * Número de métricas consideradas)</w:t>
      </w:r>
    </w:p>
    <w:p>
      <w:r>
        <w:t xml:space="preserve">donde el máximo teórico es 45 si se usan los 9 criterios con escala 0–5. [web:21][web:24]  </w:t>
      </w:r>
    </w:p>
    <w:p>
      <w:pPr>
        <w:pStyle w:val="ListBullet"/>
        <w:keepLines w:val="1"/>
        <w:widowControl w:val="1"/>
      </w:pPr>
      <w:r>
        <w:t>Ejemplo de fórmula (si las filas 2–11 corresponden a una unidad):</w:t>
      </w:r>
    </w:p>
    <w:p>
      <w:r>
        <w:rPr>
          <w:rFonts w:ascii="Courier New" w:hAnsi="Courier New"/>
          <w:sz w:val="18"/>
        </w:rPr>
        <w:t>=SUMA(E2:E11)/(45*CONTAR(E2:E11))</w:t>
      </w:r>
      <w:r>
        <w:t xml:space="preserve"> </w:t>
      </w:r>
    </w:p>
    <w:p>
      <w:r>
        <w:t xml:space="preserve">El resultado es un índice entre 0 y 1 que mide la calidad del sistema de métricas, no del nivel de riesgo.  </w:t>
      </w:r>
    </w:p>
    <w:p>
      <w:pPr>
        <w:pStyle w:val="Heading2"/>
        <w:keepNext/>
        <w:keepLines/>
      </w:pPr>
      <w:r>
        <w:rPr>
          <w:color w:val="0066CC"/>
        </w:rPr>
        <w:t>3. Hoja 3 – ROI_iniciativas</w:t>
      </w:r>
    </w:p>
    <w:p>
      <w:r>
        <w:t>Esta hoja estima un ROI simplificado de iniciativas de mejora (por ejemplo, un proyecto de automatización de scoring CVSS o una campaña de parcheo acelerado).</w:t>
      </w:r>
    </w:p>
    <w:p>
      <w:pPr>
        <w:pStyle w:val="Heading3"/>
        <w:keepNext/>
        <w:keepLines/>
      </w:pPr>
      <w:r>
        <w:t>Columnas</w:t>
      </w:r>
    </w:p>
    <w:p>
      <w:pPr>
        <w:pStyle w:val="ListBullet"/>
        <w:keepLines w:val="1"/>
        <w:keepNext w:val="1"/>
        <w:widowControl w:val="1"/>
      </w:pPr>
      <w:r>
        <w:t xml:space="preserve">A: Iniciativa_ID.  </w:t>
      </w:r>
    </w:p>
    <w:p>
      <w:pPr>
        <w:pStyle w:val="ListBullet"/>
        <w:keepLines w:val="1"/>
        <w:keepNext w:val="1"/>
        <w:widowControl w:val="1"/>
      </w:pPr>
      <w:r>
        <w:t xml:space="preserve">B: Descripción_iniciativa.  </w:t>
      </w:r>
    </w:p>
    <w:p>
      <w:pPr>
        <w:pStyle w:val="ListBullet"/>
        <w:keepLines w:val="1"/>
        <w:keepNext w:val="1"/>
        <w:widowControl w:val="1"/>
      </w:pPr>
      <w:r>
        <w:t xml:space="preserve">C: Unidad (ministerio, CCAA, operador).  </w:t>
      </w:r>
    </w:p>
    <w:p>
      <w:pPr>
        <w:pStyle w:val="ListBullet"/>
        <w:keepLines w:val="1"/>
        <w:keepNext w:val="1"/>
        <w:widowControl w:val="1"/>
      </w:pPr>
      <w:r>
        <w:t xml:space="preserve">D: Coste_total (CAPEX + OPEX durante el periodo de análisis).  </w:t>
      </w:r>
    </w:p>
    <w:p>
      <w:pPr>
        <w:pStyle w:val="ListBullet"/>
        <w:keepLines w:val="1"/>
        <w:keepNext w:val="1"/>
        <w:widowControl w:val="1"/>
      </w:pPr>
      <w:r>
        <w:t xml:space="preserve">E: IGM_inicial (antes de la iniciativa).  </w:t>
      </w:r>
    </w:p>
    <w:p>
      <w:pPr>
        <w:pStyle w:val="ListBullet"/>
        <w:keepLines w:val="1"/>
        <w:keepNext w:val="1"/>
        <w:widowControl w:val="1"/>
      </w:pPr>
      <w:r>
        <w:t xml:space="preserve">F: IGM_final (después de la iniciativa).  </w:t>
      </w:r>
    </w:p>
    <w:p>
      <w:pPr>
        <w:pStyle w:val="ListBullet"/>
        <w:keepLines w:val="1"/>
        <w:keepNext w:val="1"/>
        <w:widowControl w:val="1"/>
      </w:pPr>
      <w:r>
        <w:t xml:space="preserve">G: Delta_IGM (=F2-E2).  </w:t>
      </w:r>
    </w:p>
    <w:p>
      <w:pPr>
        <w:pStyle w:val="ListBullet"/>
        <w:keepLines w:val="1"/>
        <w:keepNext w:val="1"/>
        <w:widowControl w:val="1"/>
      </w:pPr>
      <w:r>
        <w:t xml:space="preserve">H: Beneficio_estimado_monetario (por ejemplo, reducción esperada de incidentes graves, sanciones evitadas, etc., modelado en euros).  </w:t>
      </w:r>
    </w:p>
    <w:p>
      <w:pPr>
        <w:pStyle w:val="ListBullet"/>
        <w:keepLines w:val="1"/>
        <w:keepNext w:val="1"/>
        <w:widowControl w:val="1"/>
      </w:pPr>
      <w:r>
        <w:t xml:space="preserve">I: ROI_simple (=(H2-D2)/D2).  </w:t>
      </w:r>
    </w:p>
    <w:p>
      <w:pPr>
        <w:pStyle w:val="ListBullet"/>
        <w:keepLines w:val="1"/>
        <w:widowControl w:val="1"/>
      </w:pPr>
      <w:r>
        <w:t xml:space="preserve">J: ROI_IGM_normalizado (=Delta_IGM/D2).  </w:t>
      </w:r>
    </w:p>
    <w:p>
      <w:r>
        <w:t>Este esquema permite aproximar dos tipos de retorno:</w:t>
      </w:r>
    </w:p>
    <w:p>
      <w:pPr>
        <w:pStyle w:val="ListNumber"/>
        <w:keepLines w:val="1"/>
        <w:keepNext w:val="1"/>
        <w:widowControl w:val="1"/>
      </w:pPr>
      <w:r>
        <w:t xml:space="preserve">ROI clásico (beneficio económico frente a coste).  </w:t>
      </w:r>
    </w:p>
    <w:p>
      <w:pPr>
        <w:pStyle w:val="ListNumber"/>
        <w:keepLines w:val="1"/>
        <w:widowControl w:val="1"/>
      </w:pPr>
      <w:r>
        <w:t xml:space="preserve">ROI en términos de mejora de calidad del sistema de métricas (útil para justificar inversiones en medición).  </w:t>
      </w:r>
    </w:p>
    <w:p>
      <w:pPr>
        <w:pStyle w:val="Heading2"/>
        <w:keepNext/>
        <w:keepLines/>
      </w:pPr>
      <w:r>
        <w:rPr>
          <w:color w:val="0066CC"/>
        </w:rPr>
        <w:t>4. Hoja 4 – Parámetros</w:t>
      </w:r>
    </w:p>
    <w:p>
      <w:r>
        <w:t>Hoja opcional con:</w:t>
      </w:r>
    </w:p>
    <w:p>
      <w:pPr>
        <w:pStyle w:val="ListBullet"/>
        <w:keepLines w:val="1"/>
        <w:keepNext w:val="1"/>
        <w:widowControl w:val="1"/>
      </w:pPr>
      <w:r>
        <w:t xml:space="preserve">Valores máximos teóricos (por ejemplo, 45 para PRAGMATIC).  </w:t>
      </w:r>
    </w:p>
    <w:p>
      <w:pPr>
        <w:pStyle w:val="ListBullet"/>
        <w:keepLines w:val="1"/>
        <w:keepNext w:val="1"/>
        <w:widowControl w:val="1"/>
      </w:pPr>
      <w:r>
        <w:t xml:space="preserve">Pesos por criterio (si se decide ponderar más, por ejemplo, Predictivo, Relevante y Accionable).  </w:t>
      </w:r>
    </w:p>
    <w:p>
      <w:pPr>
        <w:pStyle w:val="ListBullet"/>
        <w:keepLines w:val="1"/>
        <w:widowControl w:val="1"/>
      </w:pPr>
      <w:r>
        <w:t xml:space="preserve">Umbrales de coloración (verde, amarillo, rojo) para IGM y ROI.  </w:t>
      </w:r>
    </w:p>
    <w:p>
      <w:pPr>
        <w:pStyle w:val="Heading2"/>
        <w:keepNext/>
        <w:keepLines/>
      </w:pPr>
      <w:r>
        <w:rPr>
          <w:color w:val="0066CC"/>
        </w:rPr>
        <w:t>5. Implementación práctica</w:t>
      </w:r>
    </w:p>
    <w:p>
      <w:r>
        <w:t>La plantilla está pensada para:</w:t>
      </w:r>
    </w:p>
    <w:p>
      <w:pPr>
        <w:pStyle w:val="ListBullet"/>
        <w:keepLines w:val="1"/>
        <w:keepNext w:val="1"/>
        <w:widowControl w:val="1"/>
      </w:pPr>
      <w:r>
        <w:t xml:space="preserve">Ser rellenada inicialmente a nivel nacional (con unas pocas métricas clave).  </w:t>
      </w:r>
    </w:p>
    <w:p>
      <w:pPr>
        <w:pStyle w:val="ListBullet"/>
        <w:keepLines w:val="1"/>
        <w:keepNext w:val="1"/>
        <w:widowControl w:val="1"/>
      </w:pPr>
      <w:r>
        <w:t xml:space="preserve">Ser clonada o filtrada por CCAA y sectores.  </w:t>
      </w:r>
    </w:p>
    <w:p>
      <w:pPr>
        <w:pStyle w:val="ListBullet"/>
        <w:keepLines w:val="1"/>
        <w:widowControl w:val="1"/>
      </w:pPr>
      <w:r>
        <w:t xml:space="preserve">Servir de base a visualizaciones en herramientas de BI (Power BI, Tableau, etc.).  </w:t>
      </w:r>
    </w:p>
    <w:p>
      <w:r>
        <w:t xml:space="preserve">Nada impide migrar esta lógica de Excel a otro entorno (por ejemplo, una base de datos o un sistema de reporting automatizado).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