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de Excel para cálculo de IGM y ROI (descripción en Markdown)</w:t>
      </w:r>
    </w:p>
    <w:p>
      <w:r>
        <w:t>A continuación se describe una estructura de hoja de cálculo (Excel o equivalente) para implementar el cálculo de índices de madurez (IGM) y estimar el ROI de la gestión de vulnerabilidades basada en CVSS.</w:t>
      </w:r>
    </w:p>
    <w:p>
      <w:pPr>
        <w:pStyle w:val="Heading2"/>
        <w:keepNext/>
        <w:keepLines/>
      </w:pPr>
      <w:r>
        <w:rPr>
          <w:color w:val="0066CC"/>
        </w:rPr>
        <w:t>1. Hoja "Respuestas"</w:t>
      </w:r>
    </w:p>
    <w:p>
      <w:r>
        <w:t>Columnas sugeridas:</w:t>
      </w:r>
      <w:r/>
      <w:r>
        <w:br/>
        <w:t xml:space="preserve">- </w:t>
      </w:r>
      <w:r>
        <w:rPr>
          <w:rFonts w:ascii="Courier New" w:hAnsi="Courier New"/>
          <w:sz w:val="18"/>
        </w:rPr>
        <w:t>ID_Organizacion</w:t>
      </w:r>
      <w:r/>
      <w:r>
        <w:br/>
        <w:t xml:space="preserve">- </w:t>
      </w:r>
      <w:r>
        <w:rPr>
          <w:rFonts w:ascii="Courier New" w:hAnsi="Courier New"/>
          <w:sz w:val="18"/>
        </w:rPr>
        <w:t>Sector</w:t>
      </w:r>
      <w:r/>
      <w:r>
        <w:br/>
        <w:t xml:space="preserve">- </w:t>
      </w:r>
      <w:r>
        <w:rPr>
          <w:rFonts w:ascii="Courier New" w:hAnsi="Courier New"/>
          <w:sz w:val="18"/>
        </w:rPr>
        <w:t>Tamano</w:t>
      </w:r>
      <w:r/>
      <w:r>
        <w:br/>
        <w:t xml:space="preserve">- </w:t>
      </w:r>
      <w:r>
        <w:rPr>
          <w:rFonts w:ascii="Courier New" w:hAnsi="Courier New"/>
          <w:sz w:val="18"/>
        </w:rPr>
        <w:t>Sujeta_NIS2</w:t>
      </w:r>
      <w:r>
        <w:t xml:space="preserve"> (Sí/No)</w:t>
      </w:r>
      <w:r/>
      <w:r>
        <w:br/>
        <w:t xml:space="preserve">- </w:t>
      </w:r>
      <w:r>
        <w:rPr>
          <w:rFonts w:ascii="Courier New" w:hAnsi="Courier New"/>
          <w:sz w:val="18"/>
        </w:rPr>
        <w:t>Sujeta_CRA</w:t>
      </w:r>
      <w:r>
        <w:t xml:space="preserve"> (Sí/No)</w:t>
      </w:r>
      <w:r/>
      <w:r>
        <w:br/>
        <w:t xml:space="preserve">- Columnas para cada pregunta cerrada (por ejemplo, </w:t>
      </w:r>
      <w:r>
        <w:rPr>
          <w:rFonts w:ascii="Courier New" w:hAnsi="Courier New"/>
          <w:sz w:val="18"/>
        </w:rPr>
        <w:t>P2_1</w:t>
      </w:r>
      <w:r>
        <w:t xml:space="preserve">, </w:t>
      </w:r>
      <w:r>
        <w:rPr>
          <w:rFonts w:ascii="Courier New" w:hAnsi="Courier New"/>
          <w:sz w:val="18"/>
        </w:rPr>
        <w:t>P2_2</w:t>
      </w:r>
      <w:r>
        <w:t>, ..., usando códigos numéricos para las respuestas).</w:t>
      </w:r>
    </w:p>
    <w:p>
      <w:pPr>
        <w:pStyle w:val="Heading2"/>
        <w:keepNext/>
        <w:keepLines/>
      </w:pPr>
      <w:r>
        <w:rPr>
          <w:color w:val="0066CC"/>
        </w:rPr>
        <w:t>2. Hoja "Codificacion"</w:t>
      </w:r>
    </w:p>
    <w:p>
      <w:r>
        <w:t>Definir tablas de codificación para transformar respuestas en valores numéricos, por ejemplo:</w:t>
      </w:r>
    </w:p>
    <w:p>
      <w:pPr>
        <w:pStyle w:val="ListBullet"/>
        <w:keepLines w:val="1"/>
        <w:keepNext w:val="1"/>
        <w:widowControl w:val="1"/>
      </w:pPr>
      <w:r>
        <w:t>P3_1 (uso de CVSS):</w:t>
      </w:r>
    </w:p>
    <w:p>
      <w:pPr>
        <w:pStyle w:val="ListBullet"/>
        <w:keepLines w:val="1"/>
        <w:keepNext w:val="1"/>
        <w:widowControl w:val="1"/>
      </w:pPr>
      <w:r>
        <w:t>"No, ni se utiliza ni se prevé" → 0</w:t>
      </w:r>
    </w:p>
    <w:p>
      <w:pPr>
        <w:pStyle w:val="ListBullet"/>
        <w:keepLines w:val="1"/>
        <w:keepNext w:val="1"/>
        <w:widowControl w:val="1"/>
      </w:pPr>
      <w:r>
        <w:t>"Se utiliza de manera informal" → 0,25</w:t>
      </w:r>
    </w:p>
    <w:p>
      <w:pPr>
        <w:pStyle w:val="ListBullet"/>
        <w:keepLines w:val="1"/>
        <w:keepNext w:val="1"/>
        <w:widowControl w:val="1"/>
      </w:pPr>
      <w:r>
        <w:t>"Sí, pero solo en ámbitos concretos" → 0,5</w:t>
      </w:r>
    </w:p>
    <w:p>
      <w:pPr>
        <w:pStyle w:val="ListBullet"/>
        <w:keepLines w:val="1"/>
        <w:keepNext w:val="1"/>
        <w:widowControl w:val="1"/>
      </w:pPr>
      <w:r>
        <w:br/>
        <w:t>"Sí, de forma sistemática" → 1</w:t>
        <w:br/>
      </w:r>
    </w:p>
    <w:p>
      <w:pPr>
        <w:pStyle w:val="ListBullet"/>
        <w:keepLines w:val="1"/>
        <w:keepNext w:val="1"/>
        <w:widowControl w:val="1"/>
      </w:pPr>
      <w:r>
        <w:br/>
        <w:t>P3_2 (versión CVSS): asignar más peso a CVSS 4.0, por ejemplo: v2 = 0,2; v3.0/3.1 = 0,6; v4.0 = 1.[web:16][web:55]</w:t>
        <w:br/>
      </w:r>
    </w:p>
    <w:p>
      <w:pPr>
        <w:pStyle w:val="ListBullet"/>
        <w:keepLines w:val="1"/>
        <w:keepNext w:val="1"/>
        <w:widowControl w:val="1"/>
      </w:pPr>
      <w:r>
        <w:br/>
        <w:t>P4_3 / P4_4: mayor puntuación si se recalculan métricas Base para activos críticos.[web:17][web:63]</w:t>
        <w:br/>
      </w:r>
    </w:p>
    <w:p>
      <w:pPr>
        <w:pStyle w:val="ListBullet"/>
        <w:keepLines w:val="1"/>
        <w:widowControl w:val="1"/>
      </w:pPr>
      <w:r>
        <w:br/>
        <w:t>P5_1 / P6_1 / P7_1: puntuaciones según el nivel de integración de Threat, Environmental y Supplemental.[web:16][web:17][web:58]</w:t>
        <w:br/>
      </w:r>
    </w:p>
    <w:p>
      <w:r>
        <w:t>"Sí, de forma sistemática" → 1</w:t>
      </w:r>
    </w:p>
    <w:p>
      <w:r>
        <w:rPr>
          <w:rFonts w:ascii="Courier New" w:hAnsi="Courier New"/>
          <w:sz w:val="18"/>
        </w:rPr>
        <w:t>P3_2</w:t>
      </w:r>
      <w:r>
        <w:t xml:space="preserve"> (versión CVSS): asignar más peso a CVSS 4.0, por ejemplo: v2 = 0,2; v3.0/3.1 = 0,6; v4.0 = 1.[web:16][web:55]</w:t>
      </w:r>
    </w:p>
    <w:p>
      <w:r>
        <w:rPr>
          <w:rFonts w:ascii="Courier New" w:hAnsi="Courier New"/>
          <w:sz w:val="18"/>
        </w:rPr>
        <w:t>P4_3</w:t>
      </w:r>
      <w:r>
        <w:t xml:space="preserve"> / </w:t>
      </w:r>
      <w:r>
        <w:rPr>
          <w:rFonts w:ascii="Courier New" w:hAnsi="Courier New"/>
          <w:sz w:val="18"/>
        </w:rPr>
        <w:t>P4_4</w:t>
      </w:r>
      <w:r>
        <w:t>: mayor puntuación si se recalculan métricas Base para activos críticos.[web:17][web:63]</w:t>
      </w:r>
    </w:p>
    <w:p>
      <w:r>
        <w:rPr>
          <w:rFonts w:ascii="Courier New" w:hAnsi="Courier New"/>
          <w:sz w:val="18"/>
        </w:rPr>
        <w:t>P5_1</w:t>
      </w:r>
      <w:r>
        <w:t xml:space="preserve"> / </w:t>
      </w:r>
      <w:r>
        <w:rPr>
          <w:rFonts w:ascii="Courier New" w:hAnsi="Courier New"/>
          <w:sz w:val="18"/>
        </w:rPr>
        <w:t>P6_1</w:t>
      </w:r>
      <w:r>
        <w:t xml:space="preserve"> / </w:t>
      </w:r>
      <w:r>
        <w:rPr>
          <w:rFonts w:ascii="Courier New" w:hAnsi="Courier New"/>
          <w:sz w:val="18"/>
        </w:rPr>
        <w:t>P7_1</w:t>
      </w:r>
      <w:r>
        <w:t>: puntuaciones según el nivel de integración de Threat, Environmental y Supplemental.[web:16][web:17][web:58]</w:t>
      </w:r>
    </w:p>
    <w:p>
      <w:pPr>
        <w:pStyle w:val="Heading2"/>
        <w:keepNext/>
        <w:keepLines/>
      </w:pPr>
      <w:r>
        <w:rPr>
          <w:color w:val="0066CC"/>
        </w:rPr>
        <w:t>3. Hoja "IGM"</w:t>
      </w:r>
    </w:p>
    <w:p>
      <w:pPr>
        <w:pStyle w:val="Heading3"/>
        <w:keepNext/>
        <w:keepLines/>
      </w:pPr>
      <w:r>
        <w:t>3.1. Cálculo IGM-CVSS</w:t>
      </w:r>
    </w:p>
    <w:p>
      <w:r>
        <w:t>Ejemplo de fórmula (pseudo-Excel):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IGM_CVSS = PROMEDIO(</w:t>
        <w:br/>
        <w:t xml:space="preserve">  P3_1_cod,</w:t>
        <w:br/>
        <w:t xml:space="preserve">  P3_2_cod,</w:t>
        <w:br/>
        <w:t xml:space="preserve">  P4_3_cod,</w:t>
        <w:br/>
        <w:t xml:space="preserve">  P4_4_cod,</w:t>
        <w:br/>
        <w:t xml:space="preserve">  P5_1_cod,</w:t>
        <w:br/>
        <w:t xml:space="preserve">  P6_1_cod,</w:t>
        <w:br/>
        <w:t xml:space="preserve">  P7_1_cod</w:t>
        <w:br/>
        <w:t>)</w:t>
        <w:br/>
      </w:r>
    </w:p>
    <w:p>
      <w:pPr>
        <w:pStyle w:val="Heading3"/>
        <w:keepNext/>
        <w:keepLines/>
      </w:pPr>
      <w:r>
        <w:t>3.2. Cálculo IGM-GV (Gestión de Vulnerabilidades)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IGM_GV = PROMEDIO(</w:t>
        <w:br/>
        <w:t xml:space="preserve">  P2_1_cod,</w:t>
        <w:br/>
        <w:t xml:space="preserve">  P2_2_cod,</w:t>
        <w:br/>
        <w:t xml:space="preserve">  P2_3_cod,</w:t>
        <w:br/>
        <w:t xml:space="preserve">  P9_1_cod,</w:t>
        <w:br/>
        <w:t xml:space="preserve">  P9_2_cod,</w:t>
        <w:br/>
        <w:t xml:space="preserve">  P9_3_cod</w:t>
        <w:br/>
        <w:t>)</w:t>
        <w:br/>
      </w:r>
    </w:p>
    <w:p>
      <w:pPr>
        <w:pStyle w:val="Heading3"/>
        <w:keepNext/>
        <w:keepLines/>
      </w:pPr>
      <w:r>
        <w:t>3.3. Cálculo IGM-Norm (Alineamiento Normativo)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IGM_Norm = PROMEDIO(</w:t>
        <w:br/>
        <w:t xml:space="preserve">  P8_1_cod,</w:t>
        <w:br/>
        <w:t xml:space="preserve">  P8_2_cod,</w:t>
        <w:br/>
        <w:t xml:space="preserve">  P8_3_cod,</w:t>
        <w:br/>
        <w:t xml:space="preserve">  P8_4_cod</w:t>
        <w:br/>
        <w:t>)</w:t>
        <w:br/>
      </w:r>
    </w:p>
    <w:p>
      <w:pPr>
        <w:pStyle w:val="Heading3"/>
        <w:keepNext/>
        <w:keepLines/>
      </w:pPr>
      <w:r>
        <w:t>3.4. Índice Global de Madurez (IGM_Global)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IGM_Global = PROMEDIO(</w:t>
        <w:br/>
        <w:t xml:space="preserve">  IGM_CVSS,</w:t>
        <w:br/>
        <w:t xml:space="preserve">  IGM_GV,</w:t>
        <w:br/>
        <w:t xml:space="preserve">  IGM_Norm</w:t>
        <w:br/>
        <w:t>)</w:t>
        <w:br/>
      </w:r>
    </w:p>
    <w:p>
      <w:pPr>
        <w:pStyle w:val="Heading2"/>
        <w:keepNext/>
        <w:keepLines/>
      </w:pPr>
      <w:r>
        <w:rPr>
          <w:color w:val="0066CC"/>
        </w:rPr>
        <w:t>4. Hoja "ROI"</w:t>
      </w:r>
    </w:p>
    <w:p>
      <w:r>
        <w:t>Columnas sugeridas por organización:</w:t>
      </w:r>
      <w:r/>
      <w:r>
        <w:br/>
        <w:t xml:space="preserve">- </w:t>
      </w:r>
      <w:r>
        <w:rPr>
          <w:rFonts w:ascii="Courier New" w:hAnsi="Courier New"/>
          <w:sz w:val="18"/>
        </w:rPr>
        <w:t>Coste_Herramientas</w:t>
      </w:r>
      <w:r>
        <w:t xml:space="preserve"> (€/año)</w:t>
      </w:r>
      <w:r/>
      <w:r>
        <w:br/>
        <w:t xml:space="preserve">- </w:t>
      </w:r>
      <w:r>
        <w:rPr>
          <w:rFonts w:ascii="Courier New" w:hAnsi="Courier New"/>
          <w:sz w:val="18"/>
        </w:rPr>
        <w:t>Coste_Personal</w:t>
      </w:r>
      <w:r>
        <w:t xml:space="preserve"> (€/año)</w:t>
      </w:r>
      <w:r/>
      <w:r>
        <w:br/>
        <w:t xml:space="preserve">- </w:t>
      </w:r>
      <w:r>
        <w:rPr>
          <w:rFonts w:ascii="Courier New" w:hAnsi="Courier New"/>
          <w:sz w:val="18"/>
        </w:rPr>
        <w:t>Coste_Procesos</w:t>
      </w:r>
      <w:r>
        <w:t xml:space="preserve"> (consultoría, formación, etc.)</w:t>
      </w:r>
      <w:r/>
      <w:r>
        <w:br/>
        <w:t xml:space="preserve">- </w:t>
      </w:r>
      <w:r>
        <w:rPr>
          <w:rFonts w:ascii="Courier New" w:hAnsi="Courier New"/>
          <w:sz w:val="18"/>
        </w:rPr>
        <w:t>Coste_Total_Gestion_Vuln</w:t>
      </w:r>
    </w:p>
    <w:p>
      <w:pPr>
        <w:pStyle w:val="ListBullet"/>
        <w:keepLines w:val="1"/>
        <w:keepNext w:val="1"/>
        <w:widowControl w:val="1"/>
      </w:pPr>
      <w:r>
        <w:t>Incidentes_Antes (media anual, estimada)</w:t>
      </w:r>
    </w:p>
    <w:p>
      <w:pPr>
        <w:pStyle w:val="ListBullet"/>
        <w:keepLines w:val="1"/>
        <w:keepNext w:val="1"/>
        <w:widowControl w:val="1"/>
      </w:pPr>
      <w:r>
        <w:t>Incidentes_Despues (media anual tras mejoras)</w:t>
      </w:r>
    </w:p>
    <w:p>
      <w:pPr>
        <w:pStyle w:val="ListBullet"/>
        <w:keepLines w:val="1"/>
        <w:widowControl w:val="1"/>
      </w:pPr>
      <w:r>
        <w:t>Coste_Medio_Incidente (€, incluyendo interrupción, sanciones, reputación estimada)</w:t>
      </w:r>
    </w:p>
    <w:p>
      <w:r>
        <w:t>Calcular: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Perdida_Evitada = (Incidentes_Antes - Incidentes_Despues) * Coste_Medio_Incidente</w:t>
        <w:br/>
        <w:t>ROI_Gestion_Vuln = (Perdida_Evitada - Coste_Total_Gestion_Vuln) / Coste_Total_Gestion_Vuln</w:t>
        <w:br/>
      </w:r>
    </w:p>
    <w:p>
      <w:r>
        <w:t>Este modelo es simplificado, pero suficiente para discusiones estratégicas.[web:61]</w:t>
      </w:r>
    </w:p>
    <w:p>
      <w:pPr>
        <w:pStyle w:val="Heading2"/>
        <w:keepNext/>
        <w:keepLines/>
      </w:pPr>
      <w:r>
        <w:rPr>
          <w:color w:val="0066CC"/>
        </w:rPr>
        <w:t>5. Hoja "Dashboard"</w:t>
      </w:r>
    </w:p>
    <w:p>
      <w:r>
        <w:t>Construir un panel con:</w:t>
      </w:r>
      <w:r/>
      <w:r>
        <w:br/>
        <w:t>- Distribución de IGM_Global por sector.</w:t>
      </w:r>
      <w:r/>
      <w:r>
        <w:br/>
        <w:t>- Gráfico de dispersión IGM_CVSS vs. IGM_GV.</w:t>
      </w:r>
      <w:r/>
      <w:r>
        <w:br/>
        <w:t>- Tasa media de ROI por cuartiles de IGM_Global.</w:t>
      </w:r>
    </w:p>
    <w:p>
      <w:r>
        <w:t>De este modo, se puede visualizar si una mayor madurez en gestión de vulnerabilidades se correlaciona con mejor desempeño económico y menor impacto de incidentes.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