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(PowerPoint) – Indicadores CVSS GQM + PRAGMATIC</w:t>
      </w:r>
    </w:p>
    <w:p>
      <w:r>
        <w:t xml:space="preserve">Esta plantilla describe la estructura de una presentación para comités ejecutivos, consejos de administración y órganos de gobierno sobre el estado de las métricas CVSS v4.0 a nivel nacional/territorial.  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 xml:space="preserve">Título: “Estado de exposición a vulnerabilidades y métricas CVSS – Informe Ejecutivo”.  </w:t>
      </w:r>
    </w:p>
    <w:p>
      <w:pPr>
        <w:pStyle w:val="ListBullet"/>
        <w:keepLines w:val="1"/>
        <w:keepNext w:val="1"/>
        <w:widowControl w:val="1"/>
      </w:pPr>
      <w:r>
        <w:t xml:space="preserve">Subtítulo: “Marco GQM + PRAGMATIC – [Periodo] – [Ámbito]”.  </w:t>
      </w:r>
    </w:p>
    <w:p>
      <w:pPr>
        <w:pStyle w:val="ListBullet"/>
        <w:keepLines w:val="1"/>
        <w:widowControl w:val="1"/>
      </w:pPr>
      <w:r>
        <w:t xml:space="preserve">Datos: Fecha, organismo responsable (p. ej. INCIBE / NCC-ES), destinatario (Consejo, Comisión, etc.). [web:12][web:22]  </w:t>
      </w:r>
    </w:p>
    <w:p>
      <w:pPr>
        <w:pStyle w:val="Heading2"/>
        <w:keepNext/>
        <w:keepLines/>
      </w:pPr>
      <w:r>
        <w:rPr>
          <w:color w:val="0066CC"/>
        </w:rPr>
        <w:t>Diapositiva 2 – Mensaje clave (1–3 bullets máximo)</w:t>
      </w:r>
    </w:p>
    <w:p>
      <w:pPr>
        <w:pStyle w:val="ListBullet"/>
        <w:keepLines w:val="1"/>
        <w:keepNext w:val="1"/>
        <w:widowControl w:val="1"/>
      </w:pPr>
      <w:r>
        <w:t xml:space="preserve">Idea 1: Nivel actual de exposición (M1, M3) en términos simples.  </w:t>
      </w:r>
    </w:p>
    <w:p>
      <w:pPr>
        <w:pStyle w:val="ListBullet"/>
        <w:keepLines w:val="1"/>
        <w:keepNext w:val="1"/>
        <w:widowControl w:val="1"/>
      </w:pPr>
      <w:r>
        <w:t xml:space="preserve">Idea 2: Velocidad de mitigación (M2) y tendencias.  </w:t>
      </w:r>
    </w:p>
    <w:p>
      <w:pPr>
        <w:pStyle w:val="ListBullet"/>
        <w:keepLines w:val="1"/>
        <w:widowControl w:val="1"/>
      </w:pPr>
      <w:r>
        <w:t xml:space="preserve">Idea 3: Grado de alineamiento regulatorio y capacidad de medición (M4, M5, IGM). [web:7][web:13]  </w:t>
      </w:r>
    </w:p>
    <w:p>
      <w:r>
        <w:t xml:space="preserve">El tono debe ser directo: “Estamos aquí, esto ha mejorado/empeorado, y estas son las decisiones que necesitamos de ustedes”.  </w:t>
      </w:r>
    </w:p>
    <w:p>
      <w:pPr>
        <w:pStyle w:val="Heading2"/>
        <w:keepNext/>
        <w:keepLines/>
      </w:pPr>
      <w:r>
        <w:rPr>
          <w:color w:val="0066CC"/>
        </w:rPr>
        <w:t>Diapositiva 3 – Marco GQM + PRAGMATIC en una página</w:t>
      </w:r>
    </w:p>
    <w:p>
      <w:pPr>
        <w:pStyle w:val="ListBullet"/>
        <w:keepLines w:val="1"/>
        <w:keepNext w:val="1"/>
        <w:widowControl w:val="1"/>
      </w:pPr>
      <w:r>
        <w:t xml:space="preserve">Esquema visual con tres niveles: Objetivos → Preguntas → Métricas. [web:26][web:29]  </w:t>
      </w:r>
    </w:p>
    <w:p>
      <w:pPr>
        <w:pStyle w:val="ListBullet"/>
        <w:keepLines w:val="1"/>
        <w:keepNext w:val="1"/>
        <w:widowControl w:val="1"/>
      </w:pPr>
      <w:r>
        <w:t xml:space="preserve">Resumen de PRAGMATIC como checklist de calidad de métricas (los nueve criterios en una línea). [web:21][web:24][web:27]  </w:t>
      </w:r>
    </w:p>
    <w:p>
      <w:pPr>
        <w:pStyle w:val="ListBullet"/>
        <w:keepLines w:val="1"/>
        <w:widowControl w:val="1"/>
      </w:pPr>
      <w:r>
        <w:t xml:space="preserve">Nota clara: “Las métricas aquí mostradas están filtradas por utilidad, no por disponibilidad de datos”.  </w:t>
      </w:r>
    </w:p>
    <w:p>
      <w:pPr>
        <w:pStyle w:val="Heading2"/>
        <w:keepNext/>
        <w:keepLines/>
      </w:pPr>
      <w:r>
        <w:rPr>
          <w:color w:val="0066CC"/>
        </w:rPr>
        <w:t>Diapositiva 4 – Exposición actual a vulnerabilidades críticas (M1)</w:t>
      </w:r>
    </w:p>
    <w:p>
      <w:pPr>
        <w:pStyle w:val="ListBullet"/>
        <w:keepLines w:val="1"/>
        <w:keepNext w:val="1"/>
        <w:widowControl w:val="1"/>
      </w:pPr>
      <w:r>
        <w:t xml:space="preserve">Gráfico: barras o mapa por CCAA/sector con el porcentaje de sistemas expuestos con vulnerabilidades críticas. [web:1][web:22]  </w:t>
      </w:r>
    </w:p>
    <w:p>
      <w:pPr>
        <w:pStyle w:val="ListBullet"/>
        <w:keepLines w:val="1"/>
        <w:keepNext w:val="1"/>
        <w:widowControl w:val="1"/>
      </w:pPr>
      <w:r>
        <w:t xml:space="preserve">Texto: explicación breve del indicador, tendencia vs periodo anterior, sectores/territorios destacables.  </w:t>
      </w:r>
    </w:p>
    <w:p>
      <w:pPr>
        <w:pStyle w:val="ListBullet"/>
        <w:keepLines w:val="1"/>
        <w:widowControl w:val="1"/>
      </w:pPr>
      <w:r>
        <w:t xml:space="preserve">Nota: vinculación explícita con riesgos para servicios ciudadanos (“ventanilla única”, sanidad, etc.).  </w:t>
      </w:r>
    </w:p>
    <w:p>
      <w:pPr>
        <w:pStyle w:val="Heading2"/>
        <w:keepNext/>
        <w:keepLines/>
      </w:pPr>
      <w:r>
        <w:rPr>
          <w:color w:val="0066CC"/>
        </w:rPr>
        <w:t>Diapositiva 5 – Ventana de exposición explotable (M2)</w:t>
      </w:r>
    </w:p>
    <w:p>
      <w:pPr>
        <w:pStyle w:val="ListBullet"/>
        <w:keepLines w:val="1"/>
        <w:keepNext w:val="1"/>
        <w:widowControl w:val="1"/>
      </w:pPr>
      <w:r>
        <w:t xml:space="preserve">Gráfico: línea temporal con el tiempo medio de mitigación de vulnerabilidades explotadas activamente. [web:1][web:7][web:13]  </w:t>
      </w:r>
    </w:p>
    <w:p>
      <w:pPr>
        <w:pStyle w:val="ListBullet"/>
        <w:keepLines w:val="1"/>
        <w:keepNext w:val="1"/>
        <w:widowControl w:val="1"/>
      </w:pPr>
      <w:r>
        <w:t xml:space="preserve">Resaltado: objetivos de plazo (por ejemplo, 30 días) y situación actual.  </w:t>
      </w:r>
    </w:p>
    <w:p>
      <w:pPr>
        <w:pStyle w:val="ListBullet"/>
        <w:keepLines w:val="1"/>
        <w:widowControl w:val="1"/>
      </w:pPr>
      <w:r>
        <w:t xml:space="preserve">Comentario: sectores que lideran/mejoran y sectores rezagados.  </w:t>
      </w:r>
    </w:p>
    <w:p>
      <w:pPr>
        <w:pStyle w:val="Heading2"/>
        <w:keepNext/>
        <w:keepLines/>
      </w:pPr>
      <w:r>
        <w:rPr>
          <w:color w:val="0066CC"/>
        </w:rPr>
        <w:t>Diapositiva 6 – Servicios esenciales y riesgo residual (M3)</w:t>
      </w:r>
    </w:p>
    <w:p>
      <w:pPr>
        <w:pStyle w:val="ListBullet"/>
        <w:keepLines w:val="1"/>
        <w:keepNext w:val="1"/>
        <w:widowControl w:val="1"/>
      </w:pPr>
      <w:r>
        <w:t xml:space="preserve">Gráfico: barras apiladas por sector esencial (sanidad, energía, transporte, etc.) mostrando el porcentaje de vulnerabilidades críticas fuera de plazo. [web:7][web:10][web:12]  </w:t>
      </w:r>
    </w:p>
    <w:p>
      <w:pPr>
        <w:pStyle w:val="ListBullet"/>
        <w:keepLines w:val="1"/>
        <w:keepNext w:val="1"/>
        <w:widowControl w:val="1"/>
      </w:pPr>
      <w:r>
        <w:t xml:space="preserve">Texto: implicaciones para continuidad de negocio y obligaciones regulatorias.  </w:t>
      </w:r>
    </w:p>
    <w:p>
      <w:pPr>
        <w:pStyle w:val="ListBullet"/>
        <w:keepLines w:val="1"/>
        <w:widowControl w:val="1"/>
      </w:pPr>
      <w:r>
        <w:t xml:space="preserve">Nota: enlaces con eventos recientes (sin sensacionalismo, pero con realismo).  </w:t>
      </w:r>
    </w:p>
    <w:p>
      <w:pPr>
        <w:pStyle w:val="Heading2"/>
        <w:keepNext/>
        <w:keepLines/>
      </w:pPr>
      <w:r>
        <w:rPr>
          <w:color w:val="0066CC"/>
        </w:rPr>
        <w:t>Diapositiva 7 – Madurez de medición (M4, IGM)</w:t>
      </w:r>
    </w:p>
    <w:p>
      <w:pPr>
        <w:pStyle w:val="ListBullet"/>
        <w:keepLines w:val="1"/>
        <w:keepNext w:val="1"/>
        <w:widowControl w:val="1"/>
      </w:pPr>
      <w:r>
        <w:t xml:space="preserve">Gráfico: radar o barras que reflejen IGM por ministerio/CCAA/sector.  </w:t>
      </w:r>
    </w:p>
    <w:p>
      <w:pPr>
        <w:pStyle w:val="ListBullet"/>
        <w:keepLines w:val="1"/>
        <w:keepNext w:val="1"/>
        <w:widowControl w:val="1"/>
      </w:pPr>
      <w:r>
        <w:t xml:space="preserve">Mensaje: dónde hay capacidades de medición sólidas y dónde se decide “a ciegas”.  </w:t>
      </w:r>
    </w:p>
    <w:p>
      <w:pPr>
        <w:pStyle w:val="ListBullet"/>
        <w:keepLines w:val="1"/>
        <w:widowControl w:val="1"/>
      </w:pPr>
      <w:r>
        <w:t xml:space="preserve">Nota: enfatizar que un IGM alto no implica bajo riesgo, sino mejor capacidad de conocerlo y gestionarlo.  </w:t>
      </w:r>
    </w:p>
    <w:p>
      <w:pPr>
        <w:pStyle w:val="Heading2"/>
        <w:keepNext/>
        <w:keepLines/>
      </w:pPr>
      <w:r>
        <w:rPr>
          <w:color w:val="0066CC"/>
        </w:rPr>
        <w:t>Diapositiva 8 – Alineamiento NIS2–CVSS (M5)</w:t>
      </w:r>
    </w:p>
    <w:p>
      <w:pPr>
        <w:pStyle w:val="ListBullet"/>
        <w:keepLines w:val="1"/>
        <w:keepNext w:val="1"/>
        <w:widowControl w:val="1"/>
      </w:pPr>
      <w:r>
        <w:t xml:space="preserve">Gráfico: porcentaje de incidentes NIS2 trazados a métricas CVSS robustas por sector. [web:7][web:13]  </w:t>
      </w:r>
    </w:p>
    <w:p>
      <w:pPr>
        <w:pStyle w:val="ListBullet"/>
        <w:keepLines w:val="1"/>
        <w:widowControl w:val="1"/>
      </w:pPr>
      <w:r>
        <w:t xml:space="preserve">Comentario: utilidad de esta trazabilidad para justificar inversiones, priorizar inspecciones y responder a la UE.  </w:t>
      </w:r>
    </w:p>
    <w:p>
      <w:pPr>
        <w:pStyle w:val="Heading2"/>
        <w:keepNext/>
        <w:keepLines/>
      </w:pPr>
      <w:r>
        <w:rPr>
          <w:color w:val="0066CC"/>
        </w:rPr>
        <w:t>Diapositiva 9 – Decisiones requeridas</w:t>
      </w:r>
    </w:p>
    <w:p>
      <w:pPr>
        <w:pStyle w:val="ListBullet"/>
        <w:keepLines w:val="1"/>
        <w:keepNext w:val="1"/>
        <w:widowControl w:val="1"/>
      </w:pPr>
      <w:r>
        <w:t xml:space="preserve">Lista corta (idealmente &lt;5 elementos) de decisiones que se espera del órgano que recibe el informe, por ejemplo:  </w:t>
      </w:r>
    </w:p>
    <w:p>
      <w:pPr>
        <w:pStyle w:val="ListBullet"/>
        <w:keepLines w:val="1"/>
        <w:keepNext w:val="1"/>
        <w:widowControl w:val="1"/>
      </w:pPr>
      <w:r>
        <w:t xml:space="preserve">Aprobación de financiación para iniciativas que mejoran M2/M3.  </w:t>
      </w:r>
    </w:p>
    <w:p>
      <w:pPr>
        <w:pStyle w:val="ListBullet"/>
        <w:keepLines w:val="1"/>
        <w:keepNext w:val="1"/>
        <w:widowControl w:val="1"/>
      </w:pPr>
      <w:r>
        <w:t xml:space="preserve">Mandato para que todos los operadores críticos adopten CVSS v4.0 con Environmental y Threat en plazos definidos. [web:1][web:22]  </w:t>
      </w:r>
    </w:p>
    <w:p>
      <w:pPr>
        <w:pStyle w:val="ListBullet"/>
        <w:keepLines w:val="1"/>
        <w:widowControl w:val="1"/>
      </w:pPr>
      <w:r>
        <w:t xml:space="preserve">Alineamiento de plantillas de reporte NIS2 con métricas CVSS. [web:7][web:13]  </w:t>
      </w:r>
    </w:p>
    <w:p>
      <w:pPr>
        <w:pStyle w:val="Heading2"/>
        <w:keepNext/>
        <w:keepLines/>
      </w:pPr>
      <w:r>
        <w:rPr>
          <w:color w:val="0066CC"/>
        </w:rPr>
        <w:t>Diapositiva 10 – Anexo técnico (opcional)</w:t>
      </w:r>
    </w:p>
    <w:p>
      <w:pPr>
        <w:pStyle w:val="ListBullet"/>
        <w:keepLines w:val="1"/>
        <w:keepNext w:val="1"/>
        <w:widowControl w:val="1"/>
      </w:pPr>
      <w:r>
        <w:t xml:space="preserve">Detalle de definiciones métricas.  </w:t>
      </w:r>
    </w:p>
    <w:p>
      <w:pPr>
        <w:pStyle w:val="ListBullet"/>
        <w:keepLines w:val="1"/>
        <w:keepNext w:val="1"/>
        <w:widowControl w:val="1"/>
      </w:pPr>
      <w:r>
        <w:t xml:space="preserve">Resumen de la matriz PRAGMATIC (un extracto).  </w:t>
      </w:r>
    </w:p>
    <w:p>
      <w:pPr>
        <w:pStyle w:val="ListBullet"/>
        <w:keepLines w:val="1"/>
        <w:widowControl w:val="1"/>
      </w:pPr>
      <w:r>
        <w:t xml:space="preserve">Referencias a documentos normativos y marcos europeos. [web:7][web:13][web:12]  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