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de Reporte Ejecutivo en PowerPoint (estructura descrita en Markdown)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"Encuesta nacional sobre CVSS 4.0 y gestión de vulnerabilidades en España".</w:t>
      </w:r>
    </w:p>
    <w:p>
      <w:pPr>
        <w:pStyle w:val="ListBullet"/>
        <w:keepLines w:val="1"/>
        <w:keepNext w:val="1"/>
        <w:widowControl w:val="1"/>
      </w:pPr>
      <w:r>
        <w:t>Subtítulo: "Resultados ejecutivos y líneas de acción".</w:t>
      </w:r>
    </w:p>
    <w:p>
      <w:pPr>
        <w:pStyle w:val="ListBullet"/>
        <w:keepLines w:val="1"/>
        <w:keepNext w:val="1"/>
        <w:widowControl w:val="1"/>
      </w:pPr>
      <w:r>
        <w:t>Logo de la entidad responsable.</w:t>
      </w:r>
    </w:p>
    <w:p>
      <w:pPr>
        <w:pStyle w:val="ListBullet"/>
        <w:keepLines w:val="1"/>
        <w:widowControl w:val="1"/>
      </w:pPr>
      <w:r>
        <w:t>Fecha y versión.</w:t>
      </w:r>
    </w:p>
    <w:p>
      <w:pPr>
        <w:pStyle w:val="Heading2"/>
        <w:keepNext/>
        <w:keepLines/>
      </w:pPr>
      <w:r>
        <w:rPr>
          <w:color w:val="0066CC"/>
        </w:rPr>
        <w:t>Diapositiva 2 – Resumen ejecutivo</w:t>
      </w:r>
    </w:p>
    <w:p>
      <w:pPr>
        <w:pStyle w:val="ListBullet"/>
        <w:keepLines w:val="1"/>
        <w:keepNext w:val="1"/>
        <w:widowControl w:val="1"/>
      </w:pPr>
      <w:r>
        <w:t>3–5 mensajes clave:</w:t>
      </w:r>
    </w:p>
    <w:p>
      <w:pPr>
        <w:pStyle w:val="ListBullet"/>
        <w:keepLines w:val="1"/>
        <w:keepNext w:val="1"/>
        <w:widowControl w:val="1"/>
      </w:pPr>
      <w:r>
        <w:t>Nivel medio de madurez (IGM_Global) y variaciones por sector.</w:t>
      </w:r>
    </w:p>
    <w:p>
      <w:pPr>
        <w:pStyle w:val="ListBullet"/>
        <w:keepLines w:val="1"/>
        <w:keepNext w:val="1"/>
        <w:widowControl w:val="1"/>
      </w:pPr>
      <w:r>
        <w:t>Grado de adopción de CVSS 4.0.</w:t>
      </w:r>
    </w:p>
    <w:p>
      <w:pPr>
        <w:pStyle w:val="ListBullet"/>
        <w:keepLines w:val="1"/>
        <w:keepNext w:val="1"/>
        <w:widowControl w:val="1"/>
      </w:pPr>
      <w:r>
        <w:t>Integración con NIS2 / CRA.</w:t>
      </w:r>
    </w:p>
    <w:p>
      <w:pPr>
        <w:pStyle w:val="ListBullet"/>
        <w:keepLines w:val="1"/>
        <w:widowControl w:val="1"/>
      </w:pPr>
      <w:r>
        <w:t>Percepción de ROI y barreras principales.</w:t>
      </w:r>
    </w:p>
    <w:p>
      <w:pPr>
        <w:pStyle w:val="Heading2"/>
        <w:keepNext/>
        <w:keepLines/>
      </w:pPr>
      <w:r>
        <w:rPr>
          <w:color w:val="0066CC"/>
        </w:rPr>
        <w:t>Diapositiva 3 – Contexto y objetivos</w:t>
      </w:r>
    </w:p>
    <w:p>
      <w:pPr>
        <w:pStyle w:val="ListBullet"/>
        <w:keepLines w:val="1"/>
        <w:keepNext w:val="1"/>
        <w:widowControl w:val="1"/>
      </w:pPr>
      <w:r>
        <w:t>Breve explicación de CVSS 4.0 y su relevancia (Base, Threat, Environmental, Supplemental).[web:16][web:17][web:58]</w:t>
      </w:r>
    </w:p>
    <w:p>
      <w:pPr>
        <w:pStyle w:val="ListBullet"/>
        <w:keepLines w:val="1"/>
        <w:keepNext w:val="1"/>
        <w:widowControl w:val="1"/>
      </w:pPr>
      <w:r>
        <w:t>Referencia al marco regulatorio europeo (NIS2, CRA).[web:56][web:57][web:61]</w:t>
      </w:r>
    </w:p>
    <w:p>
      <w:pPr>
        <w:pStyle w:val="ListBullet"/>
        <w:keepLines w:val="1"/>
        <w:widowControl w:val="1"/>
      </w:pPr>
      <w:r>
        <w:t>Objetivos de la encuesta.</w:t>
      </w:r>
    </w:p>
    <w:p>
      <w:pPr>
        <w:pStyle w:val="Heading2"/>
        <w:keepNext/>
        <w:keepLines/>
      </w:pPr>
      <w:r>
        <w:rPr>
          <w:color w:val="0066CC"/>
        </w:rPr>
        <w:t>Diapositiva 4 – Metodología</w:t>
      </w:r>
    </w:p>
    <w:p>
      <w:pPr>
        <w:pStyle w:val="ListBullet"/>
        <w:keepLines w:val="1"/>
        <w:keepNext w:val="1"/>
        <w:widowControl w:val="1"/>
      </w:pPr>
      <w:r>
        <w:t>Población y muestra.</w:t>
      </w:r>
    </w:p>
    <w:p>
      <w:pPr>
        <w:pStyle w:val="ListBullet"/>
        <w:keepLines w:val="1"/>
        <w:keepNext w:val="1"/>
        <w:widowControl w:val="1"/>
      </w:pPr>
      <w:r>
        <w:t>Sectores representados.</w:t>
      </w:r>
    </w:p>
    <w:p>
      <w:pPr>
        <w:pStyle w:val="ListBullet"/>
        <w:keepLines w:val="1"/>
        <w:widowControl w:val="1"/>
      </w:pPr>
      <w:r>
        <w:t>Enfoque de construcción de índices (IGM-CVSS, IGM-GV, IGM-Norm).</w:t>
      </w:r>
    </w:p>
    <w:p>
      <w:pPr>
        <w:pStyle w:val="Heading2"/>
        <w:keepNext/>
        <w:keepLines/>
      </w:pPr>
      <w:r>
        <w:rPr>
          <w:color w:val="0066CC"/>
        </w:rPr>
        <w:t>Diapositiva 5 – Panorama general de madurez</w:t>
      </w:r>
    </w:p>
    <w:p>
      <w:pPr>
        <w:pStyle w:val="ListBullet"/>
        <w:keepLines w:val="1"/>
        <w:keepNext w:val="1"/>
        <w:widowControl w:val="1"/>
      </w:pPr>
      <w:r>
        <w:t>Gráfico de barras o radar con IGM_Global por sector.</w:t>
      </w:r>
    </w:p>
    <w:p>
      <w:pPr>
        <w:pStyle w:val="ListBullet"/>
        <w:keepLines w:val="1"/>
        <w:widowControl w:val="1"/>
      </w:pPr>
      <w:r>
        <w:t>Comentario breve sobre diferencias significativas.</w:t>
      </w:r>
    </w:p>
    <w:p>
      <w:pPr>
        <w:pStyle w:val="Heading2"/>
        <w:keepNext/>
        <w:keepLines/>
      </w:pPr>
      <w:r>
        <w:rPr>
          <w:color w:val="0066CC"/>
        </w:rPr>
        <w:t>Diapositiva 6 – Adopción de CVSS y CVSS 4.0</w:t>
      </w:r>
    </w:p>
    <w:p>
      <w:pPr>
        <w:pStyle w:val="ListBullet"/>
        <w:keepLines w:val="1"/>
        <w:keepNext w:val="1"/>
        <w:widowControl w:val="1"/>
      </w:pPr>
      <w:r>
        <w:t>Porcentaje de organizaciones que utilizan CVSS.</w:t>
      </w:r>
    </w:p>
    <w:p>
      <w:pPr>
        <w:pStyle w:val="ListBullet"/>
        <w:keepLines w:val="1"/>
        <w:keepNext w:val="1"/>
        <w:widowControl w:val="1"/>
      </w:pPr>
      <w:r>
        <w:t>Distribución por versiones (2.x, 3.x, 4.0).[web:53][web:58]</w:t>
      </w:r>
    </w:p>
    <w:p>
      <w:pPr>
        <w:pStyle w:val="ListBullet"/>
        <w:keepLines w:val="1"/>
        <w:widowControl w:val="1"/>
      </w:pPr>
      <w:r>
        <w:t>Nivel de recalculado de métricas Base.</w:t>
      </w:r>
    </w:p>
    <w:p>
      <w:pPr>
        <w:pStyle w:val="Heading2"/>
        <w:keepNext/>
        <w:keepLines/>
      </w:pPr>
      <w:r>
        <w:rPr>
          <w:color w:val="0066CC"/>
        </w:rPr>
        <w:t>Diapositiva 7 – Uso de métricas Threat y Environmental</w:t>
      </w:r>
    </w:p>
    <w:p>
      <w:pPr>
        <w:pStyle w:val="ListBullet"/>
        <w:keepLines w:val="1"/>
        <w:keepNext w:val="1"/>
        <w:widowControl w:val="1"/>
      </w:pPr>
      <w:r>
        <w:t>Porcentaje que integra explotación activa en la priorización.[web:16][web:17]</w:t>
      </w:r>
    </w:p>
    <w:p>
      <w:pPr>
        <w:pStyle w:val="ListBullet"/>
        <w:keepLines w:val="1"/>
        <w:widowControl w:val="1"/>
      </w:pPr>
      <w:r>
        <w:t>Porcentaje que ajusta scores con métricas Environmental.</w:t>
      </w:r>
    </w:p>
    <w:p>
      <w:pPr>
        <w:pStyle w:val="Heading2"/>
        <w:keepNext/>
        <w:keepLines/>
      </w:pPr>
      <w:r>
        <w:rPr>
          <w:color w:val="0066CC"/>
        </w:rPr>
        <w:t>Diapositiva 8 – Métricas Supplemental: ¿piano completo o dos dedos?</w:t>
      </w:r>
    </w:p>
    <w:p>
      <w:pPr>
        <w:pStyle w:val="ListBullet"/>
        <w:keepLines w:val="1"/>
        <w:keepNext w:val="1"/>
        <w:widowControl w:val="1"/>
      </w:pPr>
      <w:r>
        <w:t>Nivel de conocimiento y uso de Automatable, Safety, Recovery, etc.[web:55][web:58]</w:t>
      </w:r>
    </w:p>
    <w:p>
      <w:pPr>
        <w:pStyle w:val="ListBullet"/>
        <w:keepLines w:val="1"/>
        <w:widowControl w:val="1"/>
      </w:pPr>
      <w:r>
        <w:t>Comentario cualitativo sobre potencial de mejora.</w:t>
      </w:r>
    </w:p>
    <w:p>
      <w:pPr>
        <w:pStyle w:val="Heading2"/>
        <w:keepNext/>
        <w:keepLines/>
      </w:pPr>
      <w:r>
        <w:rPr>
          <w:color w:val="0066CC"/>
        </w:rPr>
        <w:t>Diapositiva 9 – Alineamiento con NIS2 y CRA</w:t>
      </w:r>
    </w:p>
    <w:p>
      <w:pPr>
        <w:pStyle w:val="ListBullet"/>
        <w:keepLines w:val="1"/>
        <w:keepNext w:val="1"/>
        <w:widowControl w:val="1"/>
      </w:pPr>
      <w:r>
        <w:t>Porcentaje de organizaciones sujetas a NIS2/CRA.[web:56][web:57][web:61]</w:t>
      </w:r>
    </w:p>
    <w:p>
      <w:pPr>
        <w:pStyle w:val="ListBullet"/>
        <w:keepLines w:val="1"/>
        <w:keepNext w:val="1"/>
        <w:widowControl w:val="1"/>
      </w:pPr>
      <w:r>
        <w:t>Uso de CVSS para evidenciar cumplimiento.</w:t>
      </w:r>
    </w:p>
    <w:p>
      <w:pPr>
        <w:pStyle w:val="ListBullet"/>
        <w:keepLines w:val="1"/>
        <w:widowControl w:val="1"/>
      </w:pPr>
      <w:r>
        <w:t>Madurez en vulnerability handling y coordinated disclosure.</w:t>
      </w:r>
    </w:p>
    <w:p>
      <w:pPr>
        <w:pStyle w:val="Heading2"/>
        <w:keepNext/>
        <w:keepLines/>
      </w:pPr>
      <w:r>
        <w:rPr>
          <w:color w:val="0066CC"/>
        </w:rPr>
        <w:t>Diapositiva 10 – Indicadores y ROI</w:t>
      </w:r>
    </w:p>
    <w:p>
      <w:pPr>
        <w:pStyle w:val="ListBullet"/>
        <w:keepLines w:val="1"/>
        <w:keepNext w:val="1"/>
        <w:widowControl w:val="1"/>
      </w:pPr>
      <w:r>
        <w:t>Uso de KPIs de vulnerabilidades.</w:t>
      </w:r>
    </w:p>
    <w:p>
      <w:pPr>
        <w:pStyle w:val="ListBullet"/>
        <w:keepLines w:val="1"/>
        <w:keepNext w:val="1"/>
        <w:widowControl w:val="1"/>
      </w:pPr>
      <w:r>
        <w:t>Estimaciones de ROI (cuando existan).</w:t>
      </w:r>
    </w:p>
    <w:p>
      <w:pPr>
        <w:pStyle w:val="ListBullet"/>
        <w:keepLines w:val="1"/>
        <w:widowControl w:val="1"/>
      </w:pPr>
      <w:r>
        <w:t>Mensaje clave: "sin métricas no hay conversación con el negocio".</w:t>
      </w:r>
    </w:p>
    <w:p>
      <w:pPr>
        <w:pStyle w:val="Heading2"/>
        <w:keepNext/>
        <w:keepLines/>
      </w:pPr>
      <w:r>
        <w:rPr>
          <w:color w:val="0066CC"/>
        </w:rPr>
        <w:t>Diapositiva 11 – Barreras y palancas</w:t>
      </w:r>
    </w:p>
    <w:p>
      <w:pPr>
        <w:pStyle w:val="ListBullet"/>
        <w:keepLines w:val="1"/>
        <w:keepNext w:val="1"/>
        <w:widowControl w:val="1"/>
      </w:pPr>
      <w:r>
        <w:t>Top 5 barreras para avanzar (formación, herramientas, datos, gobierno, apoyo directivo).</w:t>
      </w:r>
    </w:p>
    <w:p>
      <w:pPr>
        <w:pStyle w:val="ListBullet"/>
        <w:keepLines w:val="1"/>
        <w:widowControl w:val="1"/>
      </w:pPr>
      <w:r>
        <w:t>Top 5 palancas identificadas.</w:t>
      </w:r>
    </w:p>
    <w:p>
      <w:pPr>
        <w:pStyle w:val="Heading2"/>
        <w:keepNext/>
        <w:keepLines/>
      </w:pPr>
      <w:r>
        <w:rPr>
          <w:color w:val="0066CC"/>
        </w:rPr>
        <w:t>Diapositiva 12 – Recomendaciones</w:t>
      </w:r>
    </w:p>
    <w:p>
      <w:pPr>
        <w:pStyle w:val="ListBullet"/>
        <w:keepLines w:val="1"/>
        <w:keepNext w:val="1"/>
        <w:widowControl w:val="1"/>
      </w:pPr>
      <w:r>
        <w:t>Recomendaciones de alto nivel:</w:t>
      </w:r>
    </w:p>
    <w:p>
      <w:pPr>
        <w:pStyle w:val="ListBullet"/>
        <w:keepLines w:val="1"/>
        <w:keepNext w:val="1"/>
        <w:widowControl w:val="1"/>
      </w:pPr>
      <w:r>
        <w:t>Consolidar proceso formal de gestión de vulnerabilidades.</w:t>
      </w:r>
    </w:p>
    <w:p>
      <w:pPr>
        <w:pStyle w:val="ListBullet"/>
        <w:keepLines w:val="1"/>
        <w:keepNext w:val="1"/>
        <w:widowControl w:val="1"/>
      </w:pPr>
      <w:r>
        <w:t>Adoptar progresivamente CVSS 4.0.</w:t>
      </w:r>
    </w:p>
    <w:p>
      <w:pPr>
        <w:pStyle w:val="ListBullet"/>
        <w:keepLines w:val="1"/>
        <w:keepNext w:val="1"/>
        <w:widowControl w:val="1"/>
      </w:pPr>
      <w:r>
        <w:t>Integrar Threat, Environmental y Supplemental en priorización.</w:t>
      </w:r>
    </w:p>
    <w:p>
      <w:pPr>
        <w:pStyle w:val="ListBullet"/>
        <w:keepLines w:val="1"/>
        <w:widowControl w:val="1"/>
      </w:pPr>
      <w:r>
        <w:t>Conectar métricas técnicas con riesgos y regulaciones.</w:t>
      </w:r>
    </w:p>
    <w:p>
      <w:pPr>
        <w:pStyle w:val="Heading2"/>
        <w:keepNext/>
        <w:keepLines/>
      </w:pPr>
      <w:r>
        <w:rPr>
          <w:color w:val="0066CC"/>
        </w:rPr>
        <w:t>Diapositiva 13 – Próximos pasos</w:t>
      </w:r>
    </w:p>
    <w:p>
      <w:pPr>
        <w:pStyle w:val="ListBullet"/>
        <w:keepLines w:val="1"/>
        <w:keepNext w:val="1"/>
        <w:widowControl w:val="1"/>
      </w:pPr>
      <w:r>
        <w:t>Propuestas de:</w:t>
      </w:r>
    </w:p>
    <w:p>
      <w:pPr>
        <w:pStyle w:val="ListBullet"/>
        <w:keepLines w:val="1"/>
        <w:keepNext w:val="1"/>
        <w:widowControl w:val="1"/>
      </w:pPr>
      <w:r>
        <w:t>Formación y talleres.</w:t>
      </w:r>
    </w:p>
    <w:p>
      <w:pPr>
        <w:pStyle w:val="ListBullet"/>
        <w:keepLines w:val="1"/>
        <w:keepNext w:val="1"/>
        <w:widowControl w:val="1"/>
      </w:pPr>
      <w:r>
        <w:t>Pilotos sectoriales.</w:t>
      </w:r>
    </w:p>
    <w:p>
      <w:pPr>
        <w:pStyle w:val="ListBullet"/>
        <w:keepLines w:val="1"/>
        <w:widowControl w:val="1"/>
      </w:pPr>
      <w:r>
        <w:t>Repetición periódica de la encuesta.</w:t>
      </w:r>
    </w:p>
    <w:p>
      <w:pPr>
        <w:pStyle w:val="Heading2"/>
        <w:keepNext/>
        <w:keepLines/>
      </w:pPr>
      <w:r>
        <w:rPr>
          <w:color w:val="0066CC"/>
        </w:rPr>
        <w:t>Diapositiva 14 – Cierre y contacto</w:t>
      </w:r>
    </w:p>
    <w:p>
      <w:pPr>
        <w:pStyle w:val="ListBullet"/>
        <w:keepLines w:val="1"/>
        <w:keepNext w:val="1"/>
        <w:widowControl w:val="1"/>
      </w:pPr>
      <w:r>
        <w:t>Resumen final.</w:t>
      </w:r>
    </w:p>
    <w:p>
      <w:pPr>
        <w:pStyle w:val="ListBullet"/>
        <w:keepLines w:val="1"/>
        <w:keepNext w:val="1"/>
        <w:widowControl w:val="1"/>
      </w:pPr>
      <w:r>
        <w:t>Datos de contacto del equipo responsable.</w:t>
      </w:r>
    </w:p>
    <w:p>
      <w:pPr>
        <w:pStyle w:val="ListBullet"/>
        <w:keepLines w:val="1"/>
        <w:widowControl w:val="1"/>
      </w:pPr>
      <w:r>
        <w:t>Invitación a colaborar en futuras ediciones.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