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Cálculo de Índice de Madurez Cibernética (IGM), Análisis e Interpretación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Aplicable a:</w:t>
      </w:r>
      <w:r>
        <w:t xml:space="preserve"> Todas las organizaciones</w:t>
      </w:r>
    </w:p>
    <w:p>
      <w:pPr>
        <w:pStyle w:val="Heading2"/>
        <w:keepNext/>
        <w:keepLines/>
      </w:pPr>
      <w:r>
        <w:rPr>
          <w:color w:val="0066CC"/>
        </w:rPr>
        <w:t>1. INTRODUCCIÓN A LA METODOLOGÍA</w:t>
      </w:r>
    </w:p>
    <w:p>
      <w:r>
        <w:t>Esta guía describe el proceso sistemático para convertir respuestas de encuesta en métricas cuantificables de madurez cibernética, permitiendo a las organizaciones:</w:t>
      </w:r>
    </w:p>
    <w:p>
      <w:pPr>
        <w:pStyle w:val="ListNumber"/>
        <w:keepLines w:val="1"/>
        <w:keepNext w:val="1"/>
        <w:widowControl w:val="1"/>
      </w:pPr>
      <w:r>
        <w:t>Establecer línea base actual de ciberseguridad</w:t>
      </w:r>
    </w:p>
    <w:p>
      <w:pPr>
        <w:pStyle w:val="ListNumber"/>
        <w:keepLines w:val="1"/>
        <w:keepNext w:val="1"/>
        <w:widowControl w:val="1"/>
      </w:pPr>
      <w:r>
        <w:t>Identificar brechas vs. target/benchmarks</w:t>
      </w:r>
    </w:p>
    <w:p>
      <w:pPr>
        <w:pStyle w:val="ListNumber"/>
        <w:keepLines w:val="1"/>
        <w:keepNext w:val="1"/>
        <w:widowControl w:val="1"/>
      </w:pPr>
      <w:r>
        <w:t>Priorizar inversiones mediante análisis ROI</w:t>
      </w:r>
    </w:p>
    <w:p>
      <w:pPr>
        <w:pStyle w:val="ListNumber"/>
        <w:keepLines w:val="1"/>
        <w:widowControl w:val="1"/>
      </w:pPr>
      <w:r>
        <w:t>Monitorear progreso a lo largo del tiempo</w:t>
      </w:r>
    </w:p>
    <w:p>
      <w:pPr>
        <w:pStyle w:val="Heading2"/>
        <w:keepNext/>
        <w:keepLines/>
      </w:pPr>
      <w:r>
        <w:rPr>
          <w:color w:val="0066CC"/>
        </w:rPr>
        <w:t>2. FRAMEWORK CONCEPTUAL: NIST CSF + ACET + GQM</w:t>
      </w:r>
    </w:p>
    <w:p>
      <w:pPr>
        <w:pStyle w:val="Heading3"/>
        <w:keepNext/>
        <w:keepLines/>
      </w:pPr>
      <w:r>
        <w:t>2.1 Capas de la Metodología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CAPA 1: Meta Estratégica (GQM Goal)</w:t>
        <w:br/>
        <w:t>└─ Ejemplo: "Alcanzar madurez nivel 3 en NIST CSF en 18 meses"</w:t>
        <w:br/>
        <w:br/>
        <w:t>CAPA 2: Preguntas Operacionales (GQM Questions)</w:t>
        <w:br/>
        <w:t>└─ Ejemplo: "¿Qué % de controles NIST están implementados?"</w:t>
        <w:br/>
        <w:t xml:space="preserve">           "¿Cuál es el tiempo medio de detección de incidentes?"</w:t>
        <w:br/>
        <w:br/>
        <w:t>CAPA 3: Métricas Cuantitativas (GQM Metrics)</w:t>
        <w:br/>
        <w:t>└─ Ejemplo: KPI = % Cumplimiento de Controles</w:t>
        <w:br/>
        <w:t xml:space="preserve">           KRI = Tiempo Medio Detección (horas)</w:t>
        <w:br/>
      </w:r>
    </w:p>
    <w:p>
      <w:pPr>
        <w:pStyle w:val="Heading3"/>
        <w:keepNext/>
        <w:keepLines/>
      </w:pPr>
      <w:r>
        <w:t>2.2 Mapeo a Niveles de Madurez ACET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ACET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de 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Ad 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prácticas formales, actividades inconsistentes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0-20%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Baseline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Procesos iniciales, documentación mínima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21-40%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Evolving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 documentadas, inconsistencia residual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41-60%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Intermediate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Procesos maduros, medible, repetible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61-80%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Advanced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Optimizado, integrado, mejora continua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81-95%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Innovative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Vanguardia, automatización, predicción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96-100%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ESQUEMA DE PUNTUACIÓN</w:t>
      </w:r>
    </w:p>
    <w:p>
      <w:pPr>
        <w:pStyle w:val="Heading3"/>
        <w:keepNext/>
        <w:keepLines/>
      </w:pPr>
      <w:r>
        <w:t>3.1 Asignación de Puntos por Respuesta</w:t>
      </w:r>
    </w:p>
    <w:p>
      <w:r>
        <w:t>Cada pregunta se califica según: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Sí / Implementado completamente     = 100 puntos</w:t>
        <w:br/>
        <w:t>Parcialmente / En progreso          = 50 puntos</w:t>
        <w:br/>
        <w:t>No / No implementado                = 0 puntos</w:t>
        <w:br/>
        <w:t>NA / No Aplica                      = Excluida del cálculo</w:t>
        <w:br/>
        <w:t>DK / Desconoce                      = 25 puntos (penalización por falta de visibilidad)</w:t>
        <w:br/>
      </w:r>
    </w:p>
    <w:p>
      <w:r>
        <w:rPr>
          <w:b/>
        </w:rPr>
        <w:t>Ejemplo de Cálculo Simple:</w:t>
      </w:r>
      <w:r/>
      <w:r>
        <w:br/>
        <w:t xml:space="preserve">- Pregunta 1: Sí (100 pts) + Pregunta 2: Parcialmente (50 pts) + Pregunta 3: No (0 pts) = 150 pts / 3 preguntas = </w:t>
      </w:r>
      <w:r>
        <w:rPr>
          <w:b/>
        </w:rPr>
        <w:t>50% de cumplimiento</w:t>
      </w:r>
    </w:p>
    <w:p>
      <w:pPr>
        <w:pStyle w:val="Heading3"/>
        <w:keepNext/>
        <w:keepLines/>
      </w:pPr>
      <w:r>
        <w:t>3.2 Ponderación por Dominio</w:t>
      </w:r>
    </w:p>
    <w:p>
      <w:r>
        <w:t xml:space="preserve">Mientras que todas las preguntas contribuyen al cálculo, algunos dominios tienen </w:t>
      </w:r>
      <w:r>
        <w:rPr>
          <w:b/>
        </w:rPr>
        <w:t>peso diferenciado</w:t>
      </w:r>
      <w:r>
        <w:t xml:space="preserve"> según importancia estratégica: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Gobierno (GV)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Anclaje estratégico, requiere énfasis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Identificar (ID)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Visibilidad crítica para otros dominios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Proteger (PR)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Controles defensa más numerosos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Detectar (DE)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Detección oportuna es crítica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Velocidad de respuesta minimiza daño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Recuperar (RC)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Resiliencia menos inmediata pero importante</w:t>
            </w:r>
          </w:p>
        </w:tc>
      </w:tr>
    </w:tbl>
    <w:p/>
    <w:p>
      <w:r>
        <w:rPr>
          <w:b/>
        </w:rPr>
        <w:t>Fórmula IGM ponderado: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IGM = (GV × 0,20) + (ID × 0,15) + (PR × 0,25) + </w:t>
        <w:br/>
        <w:t xml:space="preserve">      (DE × 0,15) + (RS × 0,15) + (RC × 0,10)</w:t>
        <w:br/>
      </w:r>
    </w:p>
    <w:p>
      <w:pPr>
        <w:pStyle w:val="Heading3"/>
        <w:keepNext/>
        <w:keepLines/>
      </w:pPr>
      <w:r>
        <w:t>3.3 Puntuaciones Complementarias</w:t>
      </w:r>
    </w:p>
    <w:p>
      <w:r>
        <w:t>Además del IGM, se generan scores específicos para:</w:t>
      </w:r>
    </w:p>
    <w:p>
      <w:pPr>
        <w:pStyle w:val="ListBullet"/>
        <w:keepLines w:val="1"/>
        <w:keepNext w:val="1"/>
        <w:widowControl w:val="1"/>
      </w:pPr>
      <w:r>
        <w:t>Análisis de Vulnerabilidades (AV): Promedio de preguntas 7.1 - 7.3</w:t>
      </w:r>
    </w:p>
    <w:p>
      <w:pPr>
        <w:pStyle w:val="ListBullet"/>
        <w:keepLines w:val="1"/>
        <w:keepNext w:val="1"/>
        <w:widowControl w:val="1"/>
      </w:pPr>
      <w:r>
        <w:t>SIEM Effectiveness Score (SES): Promedio de preguntas 8.1 - 8.4</w:t>
      </w:r>
    </w:p>
    <w:p>
      <w:pPr>
        <w:pStyle w:val="ListBullet"/>
        <w:keepLines w:val="1"/>
        <w:widowControl w:val="1"/>
      </w:pPr>
      <w:r>
        <w:t>Security Awareness Training Score (SATS): Promedio de preguntas 9.1 - 9.4</w:t>
      </w:r>
    </w:p>
    <w:p>
      <w:pPr>
        <w:pStyle w:val="Heading2"/>
        <w:keepNext/>
        <w:keepLines/>
      </w:pPr>
      <w:r>
        <w:rPr>
          <w:color w:val="0066CC"/>
        </w:rPr>
        <w:t>4. CÁLCULO DEL ÍNDICE DE MADUREZ CIBERNÉTICA (IGM)</w:t>
      </w:r>
    </w:p>
    <w:p>
      <w:pPr>
        <w:pStyle w:val="Heading3"/>
        <w:keepNext/>
        <w:keepLines/>
      </w:pPr>
      <w:r>
        <w:t>4.1 Paso 1: Normalizar Respuestas por Dominio</w:t>
      </w:r>
    </w:p>
    <w:p>
      <w:r>
        <w:t>Para cada dominio NIST CSF, agrupe las preguntas:</w:t>
      </w:r>
    </w:p>
    <w:p>
      <w:r>
        <w:rPr>
          <w:b/>
        </w:rPr>
        <w:t>Ejemplo: Dominio Gobierno (GV)</w:t>
      </w:r>
      <w:r/>
      <w:r>
        <w:br/>
        <w:t>- P1.1.1: Respuesta = Sí → 100 pts</w:t>
      </w:r>
      <w:r/>
      <w:r>
        <w:br/>
        <w:t>- P1.1.2: Respuesta = Parcialmente → 50 pts</w:t>
      </w:r>
      <w:r/>
      <w:r>
        <w:br/>
        <w:t>- P1.1.3: Respuesta = Sí → 100 pts</w:t>
      </w:r>
      <w:r/>
      <w:r>
        <w:br/>
        <w:t>- P1.1.4: Respuesta = Parcialmente → 50 pts</w:t>
      </w:r>
      <w:r/>
      <w:r>
        <w:br/>
        <w:t xml:space="preserve">- </w:t>
      </w:r>
      <w:r>
        <w:rPr>
          <w:b/>
        </w:rPr>
        <w:t>Subtotal GV</w:t>
      </w:r>
      <w:r>
        <w:t xml:space="preserve"> = (100+50+100+50) / 4 = </w:t>
      </w:r>
      <w:r>
        <w:rPr>
          <w:b/>
        </w:rPr>
        <w:t>75%</w:t>
      </w:r>
    </w:p>
    <w:p>
      <w:r>
        <w:t>Repita para cada dominio (ID, PR, DE, RS, RC).</w:t>
      </w:r>
    </w:p>
    <w:p>
      <w:pPr>
        <w:pStyle w:val="Heading3"/>
        <w:keepNext/>
        <w:keepLines/>
      </w:pPr>
      <w:r>
        <w:t>4.2 Paso 2: Aplicar Ponderaciones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IGM = (75 × 0,20) + (80 × 0,15) + (70 × 0,25) + </w:t>
        <w:br/>
        <w:t xml:space="preserve">      (65 × 0,15) + (72 × 0,15) + (60 × 0,10)</w:t>
        <w:br/>
        <w:br/>
        <w:t xml:space="preserve">    = 15 + 12 + 17,5 + 9,75 + 10,8 + 6</w:t>
        <w:br/>
        <w:t xml:space="preserve">    = 71,05%</w:t>
        <w:br/>
      </w:r>
    </w:p>
    <w:p>
      <w:r>
        <w:t xml:space="preserve">Este IGM del </w:t>
      </w:r>
      <w:r>
        <w:rPr>
          <w:b/>
        </w:rPr>
        <w:t>71,05%</w:t>
      </w:r>
      <w:r>
        <w:t xml:space="preserve"> ubica a la organización en nivel </w:t>
      </w:r>
      <w:r>
        <w:rPr>
          <w:b/>
        </w:rPr>
        <w:t>Advanced</w:t>
      </w:r>
      <w:r>
        <w:t xml:space="preserve"> (80+ sería Innovative).</w:t>
      </w:r>
    </w:p>
    <w:p>
      <w:pPr>
        <w:pStyle w:val="Heading3"/>
        <w:keepNext/>
        <w:keepLines/>
      </w:pPr>
      <w:r>
        <w:t>4.3 Paso 3: Asignar Nivel de Madurez</w:t>
      </w:r>
    </w:p>
    <w:p>
      <w:r>
        <w:t>Basándose en el IGM resultante: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IGM: 0-20% → Ad Hoc (No formalizado)</w:t>
        <w:br/>
        <w:t>IGM: 21-40% → Baseline (Iniciado)</w:t>
        <w:br/>
        <w:t>IGM: 41-60% → Evolving (En desarrollo)</w:t>
        <w:br/>
        <w:t>IGM: 61-80% → Intermediate (Maduro)</w:t>
        <w:br/>
        <w:t>IGM: 81-95% → Advanced (Optimizado)</w:t>
        <w:br/>
        <w:t>IGM: 96-100% → Innovative (Vanguardia)</w:t>
        <w:br/>
      </w:r>
    </w:p>
    <w:p>
      <w:r>
        <w:rPr>
          <w:b/>
        </w:rPr>
        <w:t>En el ejemplo:</w:t>
      </w:r>
      <w:r>
        <w:t xml:space="preserve"> IGM 71% = </w:t>
      </w:r>
      <w:r>
        <w:rPr>
          <w:b/>
        </w:rPr>
        <w:t>Nivel Intermediate</w:t>
      </w:r>
    </w:p>
    <w:p>
      <w:pPr>
        <w:pStyle w:val="Heading2"/>
        <w:keepNext/>
        <w:keepLines/>
      </w:pPr>
      <w:r>
        <w:rPr>
          <w:color w:val="0066CC"/>
        </w:rPr>
        <w:t>5. ANÁLISIS COMPARATIVO Y BENCHMARKING</w:t>
      </w:r>
    </w:p>
    <w:p>
      <w:pPr>
        <w:pStyle w:val="Heading3"/>
        <w:keepNext/>
        <w:keepLines/>
      </w:pPr>
      <w:r>
        <w:t>5.1 Comparación Intra-Organizacional (Radar Chart)</w:t>
      </w:r>
    </w:p>
    <w:p>
      <w:r>
        <w:rPr>
          <w:b/>
        </w:rPr>
        <w:t>Propósito:</w:t>
      </w:r>
      <w:r>
        <w:t xml:space="preserve"> Identificar dominios débiles vs. fuertes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   |  Puntuación  | Benchm. Sector | Gap</w:t>
        <w:br/>
        <w:t>-----------|--------------|----------------|-----</w:t>
        <w:br/>
        <w:t>GV         |     75%      |      78%       | -3%</w:t>
        <w:br/>
        <w:t>ID         |     80%      |      82%       | -2%</w:t>
        <w:br/>
        <w:t>PR         |     70%      |      75%       | -5% ← Prioridad</w:t>
        <w:br/>
        <w:t>DE         |     65%      |      70%       | -5% ← Prioridad</w:t>
        <w:br/>
        <w:t>RS         |     72%      |      71%       |  +1%</w:t>
        <w:br/>
        <w:t>RC         |     60%      |      68%       | -8% ← Máxima Prioridad</w:t>
        <w:br/>
      </w:r>
    </w:p>
    <w:p>
      <w:pPr>
        <w:pStyle w:val="Heading3"/>
        <w:keepNext/>
        <w:keepLines/>
      </w:pPr>
      <w:r>
        <w:t>5.2 Benchmarking Territorial</w:t>
      </w:r>
    </w:p>
    <w:p>
      <w:r>
        <w:t>Comparar IGM de la organización vs. promedio nacional/sectorial:</w:t>
      </w:r>
    </w:p>
    <w:p>
      <w:pPr>
        <w:pStyle w:val="ListBullet"/>
        <w:keepLines w:val="1"/>
        <w:keepNext w:val="1"/>
        <w:widowControl w:val="1"/>
      </w:pPr>
      <w:r>
        <w:t>Promedio Nacional España (2025): 64%</w:t>
      </w:r>
    </w:p>
    <w:p>
      <w:pPr>
        <w:pStyle w:val="ListBullet"/>
        <w:keepLines w:val="1"/>
        <w:keepNext w:val="1"/>
        <w:widowControl w:val="1"/>
      </w:pPr>
      <w:r>
        <w:t>Promedio Sector Financiero: 76%</w:t>
      </w:r>
    </w:p>
    <w:p>
      <w:pPr>
        <w:pStyle w:val="ListBullet"/>
        <w:keepLines w:val="1"/>
        <w:keepNext w:val="1"/>
        <w:widowControl w:val="1"/>
      </w:pPr>
      <w:r>
        <w:t>Promedio Sector Sanitario: 58%</w:t>
      </w:r>
    </w:p>
    <w:p>
      <w:pPr>
        <w:pStyle w:val="ListBullet"/>
        <w:keepLines w:val="1"/>
        <w:keepNext w:val="1"/>
        <w:widowControl w:val="1"/>
      </w:pPr>
      <w:r>
        <w:t>Promedio Grandes Empresas: 72%</w:t>
      </w:r>
    </w:p>
    <w:p>
      <w:pPr>
        <w:pStyle w:val="ListBullet"/>
        <w:keepLines w:val="1"/>
        <w:widowControl w:val="1"/>
      </w:pPr>
      <w:r>
        <w:t>Promedio PyMEs: 52%</w:t>
      </w:r>
    </w:p>
    <w:p>
      <w:r>
        <w:rPr>
          <w:b/>
        </w:rPr>
        <w:t>Interpretación:</w:t>
      </w:r>
      <w:r/>
      <w:r>
        <w:br/>
        <w:t xml:space="preserve">- Si IGM &gt; Benchmark sectorial: organización </w:t>
      </w:r>
      <w:r>
        <w:rPr>
          <w:b/>
        </w:rPr>
        <w:t>arriba del promedio</w:t>
      </w:r>
      <w:r/>
      <w:r>
        <w:br/>
        <w:t xml:space="preserve">- Si IGM &lt; Benchmark sectorial: requiere </w:t>
      </w:r>
      <w:r>
        <w:rPr>
          <w:b/>
        </w:rPr>
        <w:t>acción prioritaria</w:t>
      </w:r>
    </w:p>
    <w:p>
      <w:pPr>
        <w:pStyle w:val="Heading2"/>
        <w:keepNext/>
        <w:keepLines/>
      </w:pPr>
      <w:r>
        <w:rPr>
          <w:color w:val="0066CC"/>
        </w:rPr>
        <w:t>6. ANÁLISIS DE BRECHAS (GAP ANALYSIS)</w:t>
      </w:r>
    </w:p>
    <w:p>
      <w:pPr>
        <w:pStyle w:val="Heading3"/>
        <w:keepNext/>
        <w:keepLines/>
      </w:pPr>
      <w:r>
        <w:t>6.1 Identificación de Brechas Críticas</w:t>
      </w:r>
    </w:p>
    <w:p>
      <w:r>
        <w:rPr>
          <w:b/>
        </w:rPr>
        <w:t>Paso 1: Definir Target State</w:t>
      </w:r>
    </w:p>
    <w:p>
      <w:r>
        <w:t>Organización define su objetivo de madurez por dominio, típicamente:</w:t>
      </w:r>
      <w:r/>
      <w:r>
        <w:br/>
        <w:t>- Pequeña empresa: Target = Evolving (50%) en Identificar, Proteger, Detectar</w:t>
      </w:r>
      <w:r/>
      <w:r>
        <w:br/>
        <w:t>- Mediana empresa: Target = Intermediate (70%) en todos los dominios</w:t>
      </w:r>
      <w:r/>
      <w:r>
        <w:br/>
        <w:t>- Grandes empresas: Target = Advanced (85%) en dominios críticos</w:t>
      </w:r>
    </w:p>
    <w:p>
      <w:r>
        <w:rPr>
          <w:b/>
        </w:rPr>
        <w:t>Paso 2: Calcular Brechas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Gap = Target Score - Current Score</w:t>
        <w:br/>
        <w:br/>
        <w:t>Ejemplo:</w:t>
        <w:br/>
        <w:t xml:space="preserve">  Dominio PR:</w:t>
        <w:br/>
        <w:t xml:space="preserve">  Target = 80% (Intermediate)</w:t>
        <w:br/>
        <w:t xml:space="preserve">  Current = 70%</w:t>
        <w:br/>
        <w:t xml:space="preserve">  Gap = 10 puntos porcentuales</w:t>
        <w:br/>
      </w:r>
    </w:p>
    <w:p>
      <w:r>
        <w:rPr>
          <w:b/>
        </w:rPr>
        <w:t>Paso 3: Priorizar por Impacto y Esfuerzo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GV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75%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85%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Alta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Bajo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CÁLCULO DE RETORNO DE INVERSIÓN (ROI) EN CIBERSEGURIDAD</w:t>
      </w:r>
    </w:p>
    <w:p>
      <w:pPr>
        <w:pStyle w:val="Heading3"/>
        <w:keepNext/>
        <w:keepLines/>
      </w:pPr>
      <w:r>
        <w:t>7.1 Metodología FAIR para ROI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Risk Reduction Value = (Original Risk × Risk Reduction %) - (Implementation Cost)</w:t>
        <w:br/>
        <w:t>ROI % = (Risk Reduction Value / Implementation Cost) × 100</w:t>
        <w:br/>
      </w:r>
    </w:p>
    <w:p>
      <w:pPr>
        <w:pStyle w:val="Heading3"/>
        <w:keepNext/>
        <w:keepLines/>
      </w:pPr>
      <w:r>
        <w:t>7.2 Ejemplo Práctico: Implementación MFA</w:t>
      </w:r>
    </w:p>
    <w:p>
      <w:r>
        <w:rPr>
          <w:b/>
        </w:rPr>
        <w:t>Datos de Entrada: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RIESGO ORIGINAL (Sin MFA)</w:t>
        <w:br/>
        <w:t xml:space="preserve">   - Probabilidad de compromiso credencial: 25% anual (ARO)</w:t>
        <w:br/>
        <w:t xml:space="preserve">   - Coste promedio por incidente: €300.000 (SLE)</w:t>
        <w:br/>
        <w:t xml:space="preserve">   - Riesgo inherente = 25% × €300.000 = €75.000 anuales</w:t>
        <w:br/>
        <w:br/>
        <w:t>2. RIESGO RESIDUAL (Con MFA)</w:t>
        <w:br/>
        <w:t xml:space="preserve">   - Probabilidad reducida a: 5% (ARO)</w:t>
        <w:br/>
        <w:t xml:space="preserve">   - Coste = 5% × €300.000 = €15.000 anuales</w:t>
        <w:br/>
        <w:t xml:space="preserve">   - Reducción de riesgo = €75.000 - €15.000 = €60.000</w:t>
        <w:br/>
        <w:br/>
        <w:t>3. COSTE DE IMPLEMENTACIÓN</w:t>
        <w:br/>
        <w:t xml:space="preserve">   - Herramienta MFA: €40.000 (setup + 3 años)</w:t>
        <w:br/>
        <w:t xml:space="preserve">   - Capacitación: €5.000</w:t>
        <w:br/>
        <w:t xml:space="preserve">   - Total Inversión: €45.000</w:t>
        <w:br/>
        <w:br/>
        <w:t>4. CÁLCULO ROI</w:t>
        <w:br/>
        <w:t xml:space="preserve">   ROI = (€60.000 - €45.000) / €45.000 × 100 = 33% ROI</w:t>
        <w:br/>
        <w:br/>
        <w:t xml:space="preserve">   Payback Period = €45.000 / €60.000 = 0,75 años (9 meses)</w:t>
        <w:br/>
      </w:r>
    </w:p>
    <w:p>
      <w:pPr>
        <w:pStyle w:val="Heading3"/>
        <w:keepNext/>
        <w:keepLines/>
      </w:pPr>
      <w:r>
        <w:t>7.3 Matriz ROI por Dominio</w:t>
      </w:r>
    </w:p>
    <w:p>
      <w:r>
        <w:t>Se pueden calcular ROIs para cada dominio/control: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 Anual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Payback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MFA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€60K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EDR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€120K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€180K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Capacitación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€30K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€90K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200%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 meses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INDICADORES CLAVE DE RIESGO (KRIs) Y CLAVE DE DESEMPEÑO (KPIs)</w:t>
      </w:r>
    </w:p>
    <w:p>
      <w:pPr>
        <w:pStyle w:val="Heading3"/>
        <w:keepNext/>
        <w:keepLines/>
      </w:pPr>
      <w:r>
        <w:t>8.1 KRIs: Indicadores de Riesgo Cibernético</w:t>
      </w:r>
    </w:p>
    <w:p>
      <w:r>
        <w:t xml:space="preserve">Estos indicadores </w:t>
      </w:r>
      <w:r>
        <w:rPr>
          <w:b/>
        </w:rPr>
        <w:t>anticipan problemas</w:t>
      </w:r>
      <w:r>
        <w:t xml:space="preserve"> de seguridad: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KRI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Crítico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CVE Sin Parchear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vulnerabilidades críticas abiertas &gt;30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Escalación CISO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Phish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empleados que cae en phishing simulado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adicional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sistemas con logs en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&lt;80%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Expansión infra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Acceso No Autorizado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 intentos compromiso identidad/mes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Controles No Evaluados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controles NIST sin evidencia reciente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&gt;10%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Re-auditoría</w:t>
            </w:r>
          </w:p>
        </w:tc>
      </w:tr>
    </w:tbl>
    <w:p/>
    <w:p>
      <w:pPr>
        <w:pStyle w:val="Heading3"/>
        <w:keepNext/>
        <w:keepLines/>
      </w:pPr>
      <w:r>
        <w:t>8.2 KPIs: Indicadores de Desempeño</w:t>
      </w:r>
    </w:p>
    <w:p>
      <w:r>
        <w:t xml:space="preserve">Estos indicadores </w:t>
      </w:r>
      <w:r>
        <w:rPr>
          <w:b/>
        </w:rPr>
        <w:t>miden efectividad</w:t>
      </w:r>
      <w:r>
        <w:t xml:space="preserve"> de defensas: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medio para detectar incidente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Total tiempo / #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medio para resolver incidente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Total tiempo / # resueltos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Audit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sistemas auditados anualmente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&gt;90%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Assets auditados / Total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requisitos regulatorios cumplidos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&gt;95%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Req. cumplidas / Total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Training Completion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empleados con capacitación al día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&gt;95%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Completados / Total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9. ANÁLISIS DE TENDENCIAS (TEMPORAL)</w:t>
      </w:r>
    </w:p>
    <w:p>
      <w:pPr>
        <w:pStyle w:val="Heading3"/>
        <w:keepNext/>
        <w:keepLines/>
      </w:pPr>
      <w:r>
        <w:t>9.1 Seguimiento Longitudinal del IGM</w:t>
      </w:r>
    </w:p>
    <w:p>
      <w:r>
        <w:t>Graficar IGM cada trimestre para visualizar progreso: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Trimestre | IGM  | Cambio | Tendencia</w:t>
        <w:br/>
        <w:t>----------|------|--------|----------</w:t>
        <w:br/>
        <w:t>Q4 2024   | 58%  | Base   | ──</w:t>
        <w:br/>
        <w:t>Q1 2025   | 61%  | +3%    | ↗</w:t>
        <w:br/>
        <w:t>Q2 2025   | 64%  | +3%    | ↗</w:t>
        <w:br/>
        <w:t>Q3 2025   | 68%  | +4%    | ↗</w:t>
        <w:br/>
        <w:t>Q4 2025   | 71%  | +3%    | ↗</w:t>
        <w:br/>
      </w:r>
    </w:p>
    <w:p>
      <w:r>
        <w:rPr>
          <w:b/>
        </w:rPr>
        <w:t>Interpretación:</w:t>
      </w:r>
      <w:r>
        <w:t xml:space="preserve"> Tendencia positiva consistente indica mejora sostenida.</w:t>
      </w:r>
    </w:p>
    <w:p>
      <w:pPr>
        <w:pStyle w:val="Heading3"/>
        <w:keepNext/>
        <w:keepLines/>
      </w:pPr>
      <w:r>
        <w:t>9.2 Análisis de Velocidad de Mejora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Velocidad Mejora = (IGM Final - IGM Inicial) / Meses Transcurridos</w:t>
        <w:br/>
        <w:br/>
        <w:t>Ejemplo: (71% - 58%) / 12 meses = 1,08% mejora/mes</w:t>
        <w:br/>
        <w:br/>
        <w:t>Meta típica: 1-2% mejora mensual (12-24% anual)</w:t>
        <w:br/>
      </w:r>
    </w:p>
    <w:p>
      <w:pPr>
        <w:pStyle w:val="Heading2"/>
        <w:keepNext/>
        <w:keepLines/>
      </w:pPr>
      <w:r>
        <w:rPr>
          <w:color w:val="0066CC"/>
        </w:rPr>
        <w:t>10. CÁLCULO DE ÍNDICES COMPLEMENTARIOS</w:t>
      </w:r>
    </w:p>
    <w:p>
      <w:pPr>
        <w:pStyle w:val="Heading3"/>
        <w:keepNext/>
        <w:keepLines/>
      </w:pPr>
      <w:r>
        <w:t>10.1 Vulnerability Assessment Score (VAS)</w:t>
      </w:r>
    </w:p>
    <w:p>
      <w:r>
        <w:t>Promedio ponderado de preguntas 7.1-7.3: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VAS = (Gestión Vulnerabilidades × 0,4) + </w:t>
        <w:br/>
        <w:t xml:space="preserve">      (Pentests × 0,4) + </w:t>
        <w:br/>
        <w:t xml:space="preserve">      (Gestión Configuración × 0,2)</w:t>
        <w:br/>
      </w:r>
    </w:p>
    <w:p>
      <w:r>
        <w:rPr>
          <w:b/>
        </w:rPr>
        <w:t>Interpretación:</w:t>
      </w:r>
      <w:r/>
      <w:r>
        <w:br/>
        <w:t>- VAS &gt;80%: Programa maduro, riesgos identificados regularmente</w:t>
      </w:r>
      <w:r/>
      <w:r>
        <w:br/>
        <w:t>- VAS 60-80%: Programa básico, cobertura incompleta</w:t>
      </w:r>
      <w:r/>
      <w:r>
        <w:br/>
        <w:t>- VAS &lt;60%: Vulnerabilidades probablemente desconocidas</w:t>
      </w:r>
    </w:p>
    <w:p>
      <w:pPr>
        <w:pStyle w:val="Heading3"/>
        <w:keepNext/>
        <w:keepLines/>
      </w:pPr>
      <w:r>
        <w:t>10.2 SIEM Effectiveness Score (SES)</w:t>
      </w:r>
    </w:p>
    <w:p>
      <w:r>
        <w:t>Promedio ponderado de preguntas 8.1-8.4: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SES = (Infraestructura × 0,25) + </w:t>
        <w:br/>
        <w:t xml:space="preserve">      (Correlación/Detección × 0,35) + </w:t>
        <w:br/>
        <w:t xml:space="preserve">      (Workflows × 0,20) + </w:t>
        <w:br/>
        <w:t xml:space="preserve">      (KPIs × 0,20)</w:t>
        <w:br/>
      </w:r>
    </w:p>
    <w:p>
      <w:r>
        <w:rPr>
          <w:b/>
        </w:rPr>
        <w:t>Interpretación:</w:t>
      </w:r>
      <w:r/>
      <w:r>
        <w:br/>
        <w:t>- SES &gt;80%: SIEM como pilar de SOC maduro</w:t>
      </w:r>
      <w:r/>
      <w:r>
        <w:br/>
        <w:t>- SES 60-80%: Funcionalidad básica, mejoras necesarias</w:t>
      </w:r>
      <w:r/>
      <w:r>
        <w:br/>
        <w:t>- SES &lt;60%: SIEM subutilizado, considerarrechazar o reestructurar</w:t>
      </w:r>
    </w:p>
    <w:p>
      <w:pPr>
        <w:pStyle w:val="Heading3"/>
        <w:keepNext/>
        <w:keepLines/>
      </w:pPr>
      <w:r>
        <w:t>10.3 Security Awareness Training Score (SATS)</w:t>
      </w:r>
    </w:p>
    <w:p>
      <w:r>
        <w:t>Promedio ponderado de preguntas 9.1-9.4: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SATS = (Programa General × 0,25) + </w:t>
        <w:br/>
        <w:t xml:space="preserve">       (Indicadores Efectividad × 0,35) + </w:t>
        <w:br/>
        <w:t xml:space="preserve">       (Especialización × 0,25) + </w:t>
        <w:br/>
        <w:t xml:space="preserve">       (Madurez × 0,15)</w:t>
        <w:br/>
      </w:r>
    </w:p>
    <w:p>
      <w:r>
        <w:rPr>
          <w:b/>
        </w:rPr>
        <w:t>Interpretación:</w:t>
      </w:r>
      <w:r/>
      <w:r>
        <w:br/>
        <w:t>- SATS &gt;80%: Cultura de seguridad embebida, empleados son defensores</w:t>
      </w:r>
      <w:r/>
      <w:r>
        <w:br/>
        <w:t>- SATS 60-80%: Concienciación presente pero inconsistente</w:t>
      </w:r>
      <w:r/>
      <w:r>
        <w:br/>
        <w:t>- SATS &lt;60%: Capacitación superficial, riesgo humano alto</w:t>
      </w:r>
    </w:p>
    <w:p>
      <w:pPr>
        <w:pStyle w:val="Heading2"/>
        <w:keepNext/>
        <w:keepLines/>
      </w:pPr>
      <w:r>
        <w:rPr>
          <w:color w:val="0066CC"/>
        </w:rPr>
        <w:t>11. REPORTERÍA Y VISUALIZACIONES</w:t>
      </w:r>
    </w:p>
    <w:p>
      <w:pPr>
        <w:pStyle w:val="Heading3"/>
        <w:keepNext/>
        <w:keepLines/>
      </w:pPr>
      <w:r>
        <w:t>11.1 Dashboard Ejecutivo</w:t>
      </w:r>
    </w:p>
    <w:p>
      <w:r>
        <w:t>Incluir:</w:t>
      </w:r>
      <w:r/>
      <w:r>
        <w:br/>
        <w:t xml:space="preserve">1. </w:t>
      </w:r>
      <w:r>
        <w:rPr>
          <w:b/>
        </w:rPr>
        <w:t>IGM actual vs. Target</w:t>
      </w:r>
      <w:r>
        <w:t xml:space="preserve"> (gauge chart)</w:t>
      </w:r>
      <w:r/>
      <w:r>
        <w:br/>
        <w:t xml:space="preserve">2. </w:t>
      </w:r>
      <w:r>
        <w:rPr>
          <w:b/>
        </w:rPr>
        <w:t>Dominio NIST (radar chart)</w:t>
      </w:r>
      <w:r>
        <w:t xml:space="preserve"> con benchmark sectorial</w:t>
      </w:r>
      <w:r/>
      <w:r>
        <w:br/>
        <w:t xml:space="preserve">3. </w:t>
      </w:r>
      <w:r>
        <w:rPr>
          <w:b/>
        </w:rPr>
        <w:t>Tendencia temporal</w:t>
      </w:r>
      <w:r>
        <w:t xml:space="preserve"> (línea)</w:t>
      </w:r>
      <w:r/>
      <w:r>
        <w:br/>
        <w:t xml:space="preserve">4. </w:t>
      </w:r>
      <w:r>
        <w:rPr>
          <w:b/>
        </w:rPr>
        <w:t>KPIs clave</w:t>
      </w:r>
      <w:r>
        <w:t xml:space="preserve"> (scorecards)</w:t>
      </w:r>
      <w:r/>
      <w:r>
        <w:br/>
        <w:t xml:space="preserve">5. </w:t>
      </w:r>
      <w:r>
        <w:rPr>
          <w:b/>
        </w:rPr>
        <w:t>Matriz Prioridad</w:t>
      </w:r>
      <w:r>
        <w:t xml:space="preserve"> (riesgos vs. esfuerzo)</w:t>
      </w:r>
    </w:p>
    <w:p>
      <w:pPr>
        <w:pStyle w:val="Heading3"/>
        <w:keepNext/>
        <w:keepLines/>
      </w:pPr>
      <w:r>
        <w:t>11.2 Tabla de Recomendaciones Priorizado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Rank | Tema | Acción | Inversión | ROI | Plazo | Propietario</w:t>
        <w:br/>
        <w:t>-----|------|--------|-----------|-----|-------|------------</w:t>
        <w:br/>
        <w:t>1    | IAM  | Impl. MFA | €45K | 33% | 3 m | IT Manager</w:t>
        <w:br/>
        <w:t>2    | Entrenamiento | Capacitación phishing | €30K | 200% | 2 m | CISO</w:t>
        <w:br/>
        <w:t>3    | SIEM | Expandir cobertura | €120K | 67% | 6 m | SOC Lead</w:t>
        <w:br/>
        <w:t>4    | Gobernanza | Política revisada | €5K | Cumplimiento | 1 m | CISO</w:t>
        <w:br/>
      </w:r>
    </w:p>
    <w:p>
      <w:pPr>
        <w:pStyle w:val="Heading2"/>
        <w:keepNext/>
        <w:keepLines/>
      </w:pPr>
      <w:r>
        <w:rPr>
          <w:color w:val="0066CC"/>
        </w:rPr>
        <w:t>12. INTERPRETACIÓN DE RESULTADOS SEGÚN CONTEXTO</w:t>
      </w:r>
    </w:p>
    <w:p>
      <w:pPr>
        <w:pStyle w:val="Heading3"/>
        <w:keepNext/>
        <w:keepLines/>
      </w:pPr>
      <w:r>
        <w:t>12.1 Por Tamaño Organizacional</w:t>
      </w:r>
    </w:p>
    <w:p>
      <w:r>
        <w:rPr>
          <w:b/>
        </w:rPr>
        <w:t>PyMEs (&lt;250 empleados):</w:t>
      </w:r>
      <w:r/>
      <w:r>
        <w:br/>
        <w:t>- Benchm. Realista: 50-65% IGM</w:t>
      </w:r>
      <w:r/>
      <w:r>
        <w:br/>
        <w:t>- Enfoque: Baselines (Gobierno, Proteger, Detectar)</w:t>
      </w:r>
      <w:r/>
      <w:r>
        <w:br/>
        <w:t>- Horizonte: 18-24 meses</w:t>
      </w:r>
    </w:p>
    <w:p>
      <w:r>
        <w:rPr>
          <w:b/>
        </w:rPr>
        <w:t>Medianas (250-1.000):</w:t>
      </w:r>
      <w:r/>
      <w:r>
        <w:br/>
        <w:t>- Benchm. Realista: 65-75% IGM</w:t>
      </w:r>
      <w:r/>
      <w:r>
        <w:br/>
        <w:t>- Enfoque: Maduración integral</w:t>
      </w:r>
      <w:r/>
      <w:r>
        <w:br/>
        <w:t>- Horizonte: 24-36 meses</w:t>
      </w:r>
    </w:p>
    <w:p>
      <w:r>
        <w:rPr>
          <w:b/>
        </w:rPr>
        <w:t>Grandes (&gt;1.000):</w:t>
      </w:r>
      <w:r/>
      <w:r>
        <w:br/>
        <w:t>- Benchm. Realista: 75-85%+ IGM</w:t>
      </w:r>
      <w:r/>
      <w:r>
        <w:br/>
        <w:t>- Enfoque: Advanced/Innovative, automatización</w:t>
      </w:r>
      <w:r/>
      <w:r>
        <w:br/>
        <w:t>- Horizonte: 36+ meses</w:t>
      </w:r>
    </w:p>
    <w:p>
      <w:pPr>
        <w:pStyle w:val="Heading3"/>
        <w:keepNext/>
        <w:keepLines/>
      </w:pPr>
      <w:r>
        <w:t>12.2 Por Sector</w:t>
      </w:r>
    </w:p>
    <w:p>
      <w:pPr>
        <w:pStyle w:val="ListBullet"/>
        <w:keepLines w:val="1"/>
        <w:keepNext w:val="1"/>
        <w:widowControl w:val="1"/>
      </w:pPr>
      <w:r>
        <w:t>Financiero: Target 85%+, regulación estricta (GDPR, NIS2)</w:t>
      </w:r>
    </w:p>
    <w:p>
      <w:pPr>
        <w:pStyle w:val="ListBullet"/>
        <w:keepLines w:val="1"/>
        <w:keepNext w:val="1"/>
        <w:widowControl w:val="1"/>
      </w:pPr>
      <w:r>
        <w:t>Sanitario: Target 80%+, vida humana en juego</w:t>
      </w:r>
    </w:p>
    <w:p>
      <w:pPr>
        <w:pStyle w:val="ListBullet"/>
        <w:keepLines w:val="1"/>
        <w:keepNext w:val="1"/>
        <w:widowControl w:val="1"/>
      </w:pPr>
      <w:r>
        <w:t>Industria: Target 75%+, protección OT/ICS</w:t>
      </w:r>
    </w:p>
    <w:p>
      <w:pPr>
        <w:pStyle w:val="ListBullet"/>
        <w:keepLines w:val="1"/>
        <w:widowControl w:val="1"/>
      </w:pPr>
      <w:r>
        <w:t>Retail: Target 70%+, volumen de datos</w:t>
      </w:r>
    </w:p>
    <w:p>
      <w:pPr>
        <w:pStyle w:val="Heading2"/>
        <w:keepNext/>
        <w:keepLines/>
      </w:pPr>
      <w:r>
        <w:rPr>
          <w:color w:val="0066CC"/>
        </w:rPr>
        <w:t>13. VALIDACIÓN DE DATOS Y CONFIABILIDAD</w:t>
      </w:r>
    </w:p>
    <w:p>
      <w:pPr>
        <w:pStyle w:val="Heading3"/>
        <w:keepNext/>
        <w:keepLines/>
      </w:pPr>
      <w:r>
        <w:t>13.1 Criterios de Confiabilidad de Encuesta</w:t>
      </w:r>
    </w:p>
    <w:p>
      <w:r>
        <w:t>La encuesta es válida si:</w:t>
      </w:r>
    </w:p>
    <w:p>
      <w:pPr>
        <w:pStyle w:val="ListNumber"/>
        <w:keepLines w:val="1"/>
        <w:keepNext w:val="1"/>
        <w:widowControl w:val="1"/>
      </w:pPr>
      <w:r>
        <w:t>✓ Respondidas ≥80% de preguntas (excluidas NA)</w:t>
      </w:r>
    </w:p>
    <w:p>
      <w:pPr>
        <w:pStyle w:val="ListNumber"/>
        <w:keepLines w:val="1"/>
        <w:keepNext w:val="1"/>
        <w:widowControl w:val="1"/>
      </w:pPr>
      <w:r>
        <w:t>✓ Menos de 10% preguntas en "DK"</w:t>
      </w:r>
    </w:p>
    <w:p>
      <w:pPr>
        <w:pStyle w:val="ListNumber"/>
        <w:keepLines w:val="1"/>
        <w:keepNext w:val="1"/>
        <w:widowControl w:val="1"/>
      </w:pPr>
      <w:r>
        <w:t>✓ Consistencia interna: correlación entre preguntas relacionadas</w:t>
      </w:r>
    </w:p>
    <w:p>
      <w:pPr>
        <w:pStyle w:val="ListNumber"/>
        <w:keepLines w:val="1"/>
        <w:widowControl w:val="1"/>
      </w:pPr>
      <w:r>
        <w:t>✓ Validación técnica: respuestas confirmadas con auditoría/escaneo</w:t>
      </w:r>
    </w:p>
    <w:p>
      <w:pPr>
        <w:pStyle w:val="Heading3"/>
        <w:keepNext/>
        <w:keepLines/>
      </w:pPr>
      <w:r>
        <w:t>13.2 Ajustes por Falta de Evidencia</w:t>
      </w:r>
    </w:p>
    <w:p>
      <w:r>
        <w:t>Si hay muchas respuestas "DK", ajustar IGM penalizando 25 puntos por cada DK no validada.</w:t>
      </w:r>
    </w:p>
    <w:p>
      <w:pPr>
        <w:pStyle w:val="Heading2"/>
        <w:keepNext/>
        <w:keepLines/>
      </w:pPr>
      <w:r>
        <w:rPr>
          <w:color w:val="0066CC"/>
        </w:rPr>
        <w:t>14. CASOS DE USO Y EJEMPLOS</w:t>
      </w:r>
    </w:p>
    <w:p>
      <w:pPr>
        <w:pStyle w:val="Heading3"/>
        <w:keepNext/>
        <w:keepLines/>
      </w:pPr>
      <w:r>
        <w:t>14.1 Caso PyME Retail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Current State:</w:t>
        <w:br/>
        <w:t>- IGM: 52% (Evolving)</w:t>
        <w:br/>
        <w:t>- Dominios débiles: GV (40%), RC (35%)</w:t>
        <w:br/>
        <w:t>- SATS: 45% (capacitación insuficiente)</w:t>
        <w:br/>
        <w:br/>
        <w:t>Target: 65% en 18 meses</w:t>
        <w:br/>
        <w:br/>
        <w:t>Roadmap Q1-Q4:</w:t>
        <w:br/>
        <w:t>- Q1: Política CISO, capacitación anual</w:t>
        <w:br/>
        <w:t>- Q2: SIEM básico, escaneo vulnerabilidades</w:t>
        <w:br/>
        <w:t>- Q3: Backups automatizados, incident response</w:t>
        <w:br/>
        <w:t>- Q4: Revisión anual, roadmap 2027</w:t>
        <w:br/>
        <w:br/>
        <w:t>Inversión estimada: €80K</w:t>
        <w:br/>
        <w:t>ROI esperado: Evitar breach potencial €500K = 525% ROI</w:t>
        <w:br/>
      </w:r>
    </w:p>
    <w:p>
      <w:pPr>
        <w:pStyle w:val="Heading3"/>
        <w:keepNext/>
        <w:keepLines/>
      </w:pPr>
      <w:r>
        <w:t>14.2 Caso Industria Energética (Crítica)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Current State:</w:t>
        <w:br/>
        <w:t>- IGM: 71% (Intermediate)</w:t>
        <w:br/>
        <w:t>- NIS2 compliance: 80%</w:t>
        <w:br/>
        <w:t>- OT/ICS coverage: 60% (brecha)</w:t>
        <w:br/>
        <w:br/>
        <w:t>Target: 85% + OT full coverage en 24 meses</w:t>
        <w:br/>
        <w:br/>
        <w:t>Prioridades:</w:t>
        <w:br/>
        <w:t>1. OT segmentation + monitoring (€300K, 6 meses)</w:t>
        <w:br/>
        <w:t>2. Threat intelligence compartida (€50K)</w:t>
        <w:br/>
        <w:t>3. Red team exercises trimestrales</w:t>
        <w:br/>
        <w:t>4. Capacitación especializada OT/SCADA (€80K)</w:t>
        <w:br/>
        <w:br/>
        <w:t>Total inversión: €430K</w:t>
        <w:br/>
        <w:t>ROI: Mitigación riesgo sabotaje + cumplimiento = ~€2M beneficio potencial</w:t>
        <w:br/>
      </w:r>
    </w:p>
    <w:p>
      <w:r>
        <w:rPr>
          <w:b/>
        </w:rPr>
        <w:t>Esta guía facilita la cuantificación rigurosa de madurez cibernética, permitiendo decisiones de inversión basadas en datos.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