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(b) Matriz de Evaluación PRAGMATIC Completa</w:t>
      </w:r>
    </w:p>
    <w:p>
      <w:pPr>
        <w:pStyle w:val="Heading2"/>
        <w:keepNext/>
        <w:keepLines/>
      </w:pPr>
      <w:r>
        <w:rPr>
          <w:color w:val="0066CC"/>
        </w:rPr>
        <w:t>1. Instrucciones de uso</w:t>
      </w:r>
    </w:p>
    <w:p>
      <w:pPr>
        <w:pStyle w:val="ListBullet"/>
        <w:keepLines w:val="1"/>
        <w:keepNext w:val="1"/>
        <w:widowControl w:val="1"/>
      </w:pPr>
      <w:r>
        <w:t>Escala: 0 (Débil), 1 (Aceptable), 2 (Fuerte).</w:t>
      </w:r>
    </w:p>
    <w:p>
      <w:pPr>
        <w:pStyle w:val="ListBullet"/>
        <w:keepLines w:val="1"/>
        <w:widowControl w:val="1"/>
      </w:pPr>
      <w:r>
        <w:t>La columna "Comentario orientativo" sirve como guía inicial; se recomienda añadir una columna de “Justificación local” al implantarla.</w:t>
      </w:r>
    </w:p>
    <w:p>
      <w:pPr>
        <w:pStyle w:val="Heading2"/>
        <w:keepNext/>
        <w:keepLines/>
      </w:pPr>
      <w:r>
        <w:rPr>
          <w:color w:val="0066CC"/>
        </w:rPr>
        <w:t>2. Matriz PRAGMATIC por métrica clave CTEM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cantSplit w:val="1"/>
        </w:trPr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 resumida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 (Predictivo)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 (Relevante)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 (Accionable)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 (Genuino)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 (Significativo)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P2 (Preciso)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 (Oportuno)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 (Independiente)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 (Rentable)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Puntuación total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Comentario orientativo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M1.1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% activos críticos inventariados en CTEM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12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Muy relevante para exposición; precisión y oportunidad dependen de calidad del inventario.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M1.2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% activos críticos con descubrimiento continuo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13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Métrica fuerte para ON1; coste moderado para grandes organizaciones.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M1.3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% organizaciones con programa CTEM sobre activos críticos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15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Buena para visión macro; muy rentable y fácil de medir por encuesta.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M2.1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Nº rutas de ataque explotables por activo crítico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0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0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13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Altamente predictiva y accionable, pero cara y dependiente de capacidades BAS/red team.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M2.2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% exposiciones críticas con amenaza activa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13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Depende de inteligencia de amenazas; buena para priorización, coste medio.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M2.3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Densidad de exposiciones críticas por activo crítico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12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Útil para ver concentración de riesgo; precisión ligada a herramientas CTEM.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M3.1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% exposiciones críticas cerradas dentro del SLA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15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Métrica clásica de remediación, fuerte y bien entendida.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M3.2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MTTR de exposiciones críticas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14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Complementaria a M3.1; requiere datos consistentes de ciclo de vida de tickets.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M3.3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Variación mensual del índice de exposición en activos críticos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13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Mide tendencia, muy valiosa para ver impacto de CTEM.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M4.1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% exposiciones críticas validadas como explotables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0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0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11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Excelente conceptualmente, pero costosa y dependiente de capacidades adversariales.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M4.2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% escenarios adversariales donde fallan controles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0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0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11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Similar a M4.1; especialmente útil en sectores críticos y pruebas obligatorias.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M4.3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Tiempo medio en implementar mejoras de control tras fallos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13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Conecta validación con ciclo de mejora continua.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M5.1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Tiempo medio de recuperación de servicios esenciales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13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Métrica de resiliencia clásica; requiere coordinación con continuidad de negocio.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M5.2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% incidentes con interrupción significativa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13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Ayuda a medir impacto real en ciudadanía o negocio.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M5.3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Reducción interanual de incidentes con interrupción significativa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13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Métrica orientada a tendencia y resultados a largo plazo.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M6.1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% entidades reguladas que incluyen CTEM en informes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16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Extremadamente rentable y política, clave para ON4.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M6.2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% entidades que usan NIST/ISO/MITRE para CTEM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16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Proxi de estandarización y comparabilidad.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</w:pPr>
            <w:r>
              <w:t>M6.3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Tiempo medio de notificación y calidad de incidentes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1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2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2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2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2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1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1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1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1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13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Conecta CTEM con obligaciones de reporting y transparencia.</w:t>
            </w:r>
          </w:p>
        </w:tc>
      </w:tr>
    </w:tbl>
    <w:p/>
    <w:p>
      <w:r>
        <w:t>Nota: las puntuaciones son orientativas. Cada país, sector o regulador puede adaptar los valores y comentarios según su realidad y sus capacidades tecnológicas actuales.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