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(d) Mapeo detallado de métricas CTEM GQM a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nacional (ONx)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(art./anexo)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(art.)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(control)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(func./cat.)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alineamiento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activos críticos inventariados en CTEM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21(2)(a) (identificación de activos y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6(2), Art. 8(1)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A.5.9, A.5.10, A.5.12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ID.AM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Inventario de activos esenciales, base de gestión de riesgos exigida por NIS2/DORA.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activos críticos con descubrimiento continuo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21(2)(d) (medidas técnicas y operativas)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8(2)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A.8.8, A.8.9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ID.RA, PR.IP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Demuestra capacidades de monitorización continua y gestión de vulnerabilidades.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organizaciones con programa CTEM en activos críticos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20–21 (gobernanza y gestión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5–6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A.5.1, A.5.2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ID.GV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Señaliza el grado de implementación de programas estructurados de riesgo.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Nº rutas de ataque explotables por activo crítico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ON1/ON2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21(2)(c)(d)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8(2),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A.8.28, A.8.29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ID.RA, PR.IP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Conecta análisis técnico de rutas de ataque con obligaciones de mitigación.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exposiciones críticas con amenaza activa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ON1/ON2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21(2)(c)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8(2)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A.5.7, A.5.25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Uso de ciberinteligencia para priorizar riesgos según NIS2 y buenas prácticas ENISA.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Densidad de exposiciones críticas por activo crítico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21(2)(c)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6(6)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A.8.28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Mide concentración de riesgos en activos clave, útil para priorización supervisora.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exposiciones críticas cerradas dentro del SLA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21(2)(d)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8(6)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A.8.8, A.8.21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PR.IP, RS.MI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Evidencia la eficacia de medidas de mitigación y mejora continua.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MTTR de exposiciones críticas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21(2)(d)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A.6.1, A.8.8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PR.IP, RS.MI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Mejora de tiempos de respuesta, relevante para informes a reguladores.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M3.3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Variación mensual del índice de exposición en activos críticos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21(2)(c)(d)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6(6)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A.5.29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ID.RA, PR.IP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Mide evolución del riesgo residual, demandado por supervisores y auditores.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exposiciones críticas validadas como explotables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ON2/ON3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21(2)(e)(f)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24–27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A.5.23, A.8.29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PR.IP, DE.DP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Vincula pruebas de seguridad con evaluación de riesgos efectivos.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escenarios adversariales donde fallan controles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ON2/ON3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21(2)(e)(f)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24–27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A.5.23, A.8.30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PR.IP, DE.DP, RS.TE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Orientado a pruebas de resiliencia y robustez de controles.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M4.3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Tiempo medio en implementar mejoras de control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ON2/ON3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21(2)(d)(f)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11, Art.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RS.MI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Refleja madurez del ciclo de mejora tras pruebas y auditorías.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Tiempo medio de recuperación de servicios esenciales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23–24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11–13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A.5.29, A.8.4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PR.PT, RS.RP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Mide resiliencia y continuidad de servicios esenciales.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M5.2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incidentes con interrupción significativa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11–13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A.5.29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RS.AN, 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Útil para supervisión sectorial de impacto en servicios esenciales.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M5.3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Reducción interanual de incidentes con interrupción significativa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23–24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A.5.29, A.5.30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RS.CO, 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Mide resultados de programas de resiliencia a medio plazo.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entidades reguladas que incluyen CTEM en informes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20–23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4–15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A.5.5, A.5.7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ID.GV, RS.CO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Alineamiento entre reporting CTEM y obligaciones de información.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entidades que usan NIST/ISO/MITRE para CTEM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21(2)(b)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6(1)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A.5.1, A.5.2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ID.GV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Fomenta estandarización, comparabilidad y uso de buenas prácticas.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M6.3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Tiempo medio de notificación y calidad de incidentes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ON4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23–24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19–20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A.5.25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RS.CO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Relaciona CTEM con exigencias de notificación oportuna y completa.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