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CTEM GQM + PRAGMATIC (Markdown para PowerPoint)</w:t>
      </w:r>
    </w:p>
    <w:p>
      <w:pPr>
        <w:pStyle w:val="Heading2"/>
        <w:keepNext/>
        <w:keepLines/>
      </w:pPr>
      <w:r>
        <w:rPr>
          <w:color w:val="0066CC"/>
        </w:rPr>
        <w:t>Diapositiva 1 – Título</w:t>
      </w:r>
    </w:p>
    <w:p>
      <w:pPr>
        <w:pStyle w:val="ListBullet"/>
        <w:keepLines w:val="1"/>
        <w:keepNext w:val="1"/>
        <w:widowControl w:val="1"/>
      </w:pPr>
      <w:r>
        <w:t>Título: CTEM Nacional: Indicadores, Madurez y Métricas PRAGMATIC</w:t>
      </w:r>
    </w:p>
    <w:p>
      <w:pPr>
        <w:pStyle w:val="ListBullet"/>
        <w:keepLines w:val="1"/>
        <w:keepNext w:val="1"/>
        <w:widowControl w:val="1"/>
      </w:pPr>
      <w:r>
        <w:t>Subtítulo: Marco GQM + PRAGMATIC aplicado a [país/sector/organización]</w:t>
      </w:r>
    </w:p>
    <w:p>
      <w:pPr>
        <w:pStyle w:val="ListBullet"/>
        <w:keepLines w:val="1"/>
        <w:widowControl w:val="1"/>
      </w:pPr>
      <w:r>
        <w:t>Contenido: Logo, fecha, organismo responsable.</w:t>
      </w:r>
    </w:p>
    <w:p>
      <w:pPr>
        <w:pStyle w:val="Heading2"/>
        <w:keepNext/>
        <w:keepLines/>
      </w:pPr>
      <w:r>
        <w:rPr>
          <w:color w:val="0066CC"/>
        </w:rPr>
        <w:t>Diapositiva 2 – Mensajes clave</w:t>
      </w:r>
    </w:p>
    <w:p>
      <w:pPr>
        <w:pStyle w:val="ListBullet"/>
        <w:keepLines w:val="1"/>
        <w:keepNext w:val="1"/>
        <w:widowControl w:val="1"/>
      </w:pPr>
      <w:r>
        <w:t>3–4 ideas:</w:t>
      </w:r>
    </w:p>
    <w:p>
      <w:pPr>
        <w:pStyle w:val="ListBullet"/>
        <w:keepLines w:val="1"/>
        <w:keepNext w:val="1"/>
        <w:widowControl w:val="1"/>
      </w:pPr>
      <w:r>
        <w:t>Objetivos nacionales CTEM (ON1–ON4).</w:t>
      </w:r>
    </w:p>
    <w:p>
      <w:pPr>
        <w:pStyle w:val="ListBullet"/>
        <w:keepLines w:val="1"/>
        <w:keepNext w:val="1"/>
        <w:widowControl w:val="1"/>
      </w:pPr>
      <w:r>
        <w:t>Nivel medio de madurez (IGM) y dispersión.</w:t>
      </w:r>
    </w:p>
    <w:p>
      <w:pPr>
        <w:pStyle w:val="ListBullet"/>
        <w:keepLines w:val="1"/>
        <w:keepNext w:val="1"/>
        <w:widowControl w:val="1"/>
      </w:pPr>
      <w:r>
        <w:t>Métricas CTEM prioritarias seleccionadas por PRAGMATIC.</w:t>
      </w:r>
    </w:p>
    <w:p>
      <w:pPr>
        <w:pStyle w:val="ListBullet"/>
        <w:keepLines w:val="1"/>
        <w:widowControl w:val="1"/>
      </w:pPr>
      <w:r>
        <w:t>Implicaciones para política pública y estrategia.</w:t>
      </w:r>
    </w:p>
    <w:p>
      <w:pPr>
        <w:pStyle w:val="Heading2"/>
        <w:keepNext/>
        <w:keepLines/>
      </w:pPr>
      <w:r>
        <w:rPr>
          <w:color w:val="0066CC"/>
        </w:rPr>
        <w:t>Diapositiva 3 – De vulnerabilidades a exposición</w:t>
      </w:r>
    </w:p>
    <w:p>
      <w:pPr>
        <w:pStyle w:val="ListBullet"/>
        <w:keepLines w:val="1"/>
        <w:keepNext w:val="1"/>
        <w:widowControl w:val="1"/>
      </w:pPr>
      <w:r>
        <w:t>Gráfico sencillo (antes/después) mostrando el paso de métricas de vulnerabilidades a indicadores CTEM (rutas de ataque, remediación, resiliencia).</w:t>
      </w:r>
    </w:p>
    <w:p>
      <w:pPr>
        <w:pStyle w:val="ListBullet"/>
        <w:keepLines w:val="1"/>
        <w:widowControl w:val="1"/>
      </w:pPr>
      <w:r>
        <w:t>Mensaje: “No medimos más; medimos mejor.”</w:t>
      </w:r>
    </w:p>
    <w:p>
      <w:pPr>
        <w:pStyle w:val="Heading2"/>
        <w:keepNext/>
        <w:keepLines/>
      </w:pPr>
      <w:r>
        <w:rPr>
          <w:color w:val="0066CC"/>
        </w:rPr>
        <w:t>Diapositiva 4 – Marco GQM + PRAGMATIC</w:t>
      </w:r>
    </w:p>
    <w:p>
      <w:pPr>
        <w:pStyle w:val="ListBullet"/>
        <w:keepLines w:val="1"/>
        <w:keepNext w:val="1"/>
        <w:widowControl w:val="1"/>
      </w:pPr>
      <w:r>
        <w:t>Esquema visual:</w:t>
      </w:r>
    </w:p>
    <w:p>
      <w:pPr>
        <w:pStyle w:val="ListBullet"/>
        <w:keepLines w:val="1"/>
        <w:keepNext w:val="1"/>
        <w:widowControl w:val="1"/>
      </w:pPr>
      <w:r>
        <w:t>Objetivos (ON1–ON4) en la parte superior.</w:t>
      </w:r>
    </w:p>
    <w:p>
      <w:pPr>
        <w:pStyle w:val="ListBullet"/>
        <w:keepLines w:val="1"/>
        <w:keepNext w:val="1"/>
        <w:widowControl w:val="1"/>
      </w:pPr>
      <w:r>
        <w:t>Preguntas de gestión en el centro.</w:t>
      </w:r>
    </w:p>
    <w:p>
      <w:pPr>
        <w:pStyle w:val="ListBullet"/>
        <w:keepLines w:val="1"/>
        <w:keepNext w:val="1"/>
        <w:widowControl w:val="1"/>
      </w:pPr>
      <w:r>
        <w:t>Métricas (M1.x–M6.x) en la base.</w:t>
      </w:r>
    </w:p>
    <w:p>
      <w:pPr>
        <w:pStyle w:val="ListBullet"/>
        <w:keepLines w:val="1"/>
        <w:widowControl w:val="1"/>
      </w:pPr>
      <w:r>
        <w:t>Nota sobre evaluación PRAGMATIC como filtro de calidad.</w:t>
      </w:r>
    </w:p>
    <w:p>
      <w:pPr>
        <w:pStyle w:val="Heading2"/>
        <w:keepNext/>
        <w:keepLines/>
      </w:pPr>
      <w:r>
        <w:rPr>
          <w:color w:val="0066CC"/>
        </w:rPr>
        <w:t>Diapositiva 5 – Objetivos nacionales CTEM</w:t>
      </w:r>
    </w:p>
    <w:p>
      <w:pPr>
        <w:pStyle w:val="ListBullet"/>
        <w:keepLines w:val="1"/>
        <w:keepNext w:val="1"/>
        <w:widowControl w:val="1"/>
      </w:pPr>
      <w:r>
        <w:t>Breve descripción de ON1–ON4.</w:t>
      </w:r>
    </w:p>
    <w:p>
      <w:pPr>
        <w:pStyle w:val="ListBullet"/>
        <w:keepLines w:val="1"/>
        <w:keepNext w:val="1"/>
        <w:widowControl w:val="1"/>
      </w:pPr>
      <w:r>
        <w:t>Relación de cada ON con:</w:t>
      </w:r>
    </w:p>
    <w:p>
      <w:pPr>
        <w:pStyle w:val="ListBullet"/>
        <w:keepLines w:val="1"/>
        <w:keepNext w:val="1"/>
        <w:widowControl w:val="1"/>
      </w:pPr>
      <w:r>
        <w:t>Exposición sistémica.</w:t>
      </w:r>
    </w:p>
    <w:p>
      <w:pPr>
        <w:pStyle w:val="ListBullet"/>
        <w:keepLines w:val="1"/>
        <w:keepNext w:val="1"/>
        <w:widowControl w:val="1"/>
      </w:pPr>
      <w:r>
        <w:t>Remediación.</w:t>
      </w:r>
    </w:p>
    <w:p>
      <w:pPr>
        <w:pStyle w:val="ListBullet"/>
        <w:keepLines w:val="1"/>
        <w:keepNext w:val="1"/>
        <w:widowControl w:val="1"/>
      </w:pPr>
      <w:r>
        <w:t>Resiliencia.</w:t>
      </w:r>
    </w:p>
    <w:p>
      <w:pPr>
        <w:pStyle w:val="ListBullet"/>
        <w:keepLines w:val="1"/>
        <w:widowControl w:val="1"/>
      </w:pPr>
      <w:r>
        <w:t>Cumplimiento normativo.</w:t>
      </w:r>
    </w:p>
    <w:p>
      <w:pPr>
        <w:pStyle w:val="Heading2"/>
        <w:keepNext/>
        <w:keepLines/>
      </w:pPr>
      <w:r>
        <w:rPr>
          <w:color w:val="0066CC"/>
        </w:rPr>
        <w:t>Diapositiva 6 – Selección de métricas CTEM</w:t>
      </w:r>
    </w:p>
    <w:p>
      <w:pPr>
        <w:pStyle w:val="ListBullet"/>
        <w:keepLines w:val="1"/>
        <w:keepNext w:val="1"/>
        <w:widowControl w:val="1"/>
      </w:pPr>
      <w:r>
        <w:t>Tabla con M1.x–M6.x.</w:t>
      </w:r>
    </w:p>
    <w:p>
      <w:pPr>
        <w:pStyle w:val="ListBullet"/>
        <w:keepLines w:val="1"/>
        <w:keepNext w:val="1"/>
        <w:widowControl w:val="1"/>
      </w:pPr>
      <w:r>
        <w:t>Destacar:</w:t>
      </w:r>
    </w:p>
    <w:p>
      <w:pPr>
        <w:pStyle w:val="ListBullet"/>
        <w:keepLines w:val="1"/>
        <w:keepNext w:val="1"/>
        <w:widowControl w:val="1"/>
      </w:pPr>
      <w:r>
        <w:t>Métricas núcleo (M1.2, M3.1, M5.1, M6.1).</w:t>
      </w:r>
    </w:p>
    <w:p>
      <w:pPr>
        <w:pStyle w:val="ListBullet"/>
        <w:keepLines w:val="1"/>
        <w:widowControl w:val="1"/>
      </w:pPr>
      <w:r>
        <w:t>Métricas avanzadas (M2.1, M4.1).</w:t>
      </w:r>
    </w:p>
    <w:p>
      <w:pPr>
        <w:pStyle w:val="Heading2"/>
        <w:keepNext/>
        <w:keepLines/>
      </w:pPr>
      <w:r>
        <w:rPr>
          <w:color w:val="0066CC"/>
        </w:rPr>
        <w:t>Diapositiva 7 – Calidad de métricas (PRAGMATIC)</w:t>
      </w:r>
    </w:p>
    <w:p>
      <w:pPr>
        <w:pStyle w:val="ListBullet"/>
        <w:keepLines w:val="1"/>
        <w:keepNext w:val="1"/>
        <w:widowControl w:val="1"/>
      </w:pPr>
      <w:r>
        <w:t>Gráfico radar o de barras con puntuaciones medias PRAGMATIC.</w:t>
      </w:r>
    </w:p>
    <w:p>
      <w:pPr>
        <w:pStyle w:val="ListBullet"/>
        <w:keepLines w:val="1"/>
        <w:keepNext w:val="1"/>
        <w:widowControl w:val="1"/>
      </w:pPr>
      <w:r>
        <w:t>Separar:</w:t>
      </w:r>
    </w:p>
    <w:p>
      <w:pPr>
        <w:pStyle w:val="ListBullet"/>
        <w:keepLines w:val="1"/>
        <w:keepNext w:val="1"/>
        <w:widowControl w:val="1"/>
      </w:pPr>
      <w:r>
        <w:t>Métricas “listas para producción”.</w:t>
      </w:r>
    </w:p>
    <w:p>
      <w:pPr>
        <w:pStyle w:val="ListBullet"/>
        <w:keepLines w:val="1"/>
        <w:widowControl w:val="1"/>
      </w:pPr>
      <w:r>
        <w:t>Métricas “a desarrollar”.</w:t>
      </w:r>
    </w:p>
    <w:p>
      <w:pPr>
        <w:pStyle w:val="Heading2"/>
        <w:keepNext/>
        <w:keepLines/>
      </w:pPr>
      <w:r>
        <w:rPr>
          <w:color w:val="0066CC"/>
        </w:rPr>
        <w:t>Diapositiva 8 – IGM Nacional/Sectorial</w:t>
      </w:r>
    </w:p>
    <w:p>
      <w:pPr>
        <w:pStyle w:val="ListBullet"/>
        <w:keepLines w:val="1"/>
        <w:keepNext w:val="1"/>
        <w:widowControl w:val="1"/>
      </w:pPr>
      <w:r>
        <w:t>Gauge o gráfico de barras para IGM medio.</w:t>
      </w:r>
    </w:p>
    <w:p>
      <w:pPr>
        <w:pStyle w:val="ListBullet"/>
        <w:keepLines w:val="1"/>
        <w:keepNext w:val="1"/>
        <w:widowControl w:val="1"/>
      </w:pPr>
      <w:r>
        <w:t>Distribución por sector, tamaño, tipo de entidad.</w:t>
      </w:r>
    </w:p>
    <w:p>
      <w:pPr>
        <w:pStyle w:val="ListBullet"/>
        <w:keepLines w:val="1"/>
        <w:widowControl w:val="1"/>
      </w:pPr>
      <w:r>
        <w:t>Comentario sobre brechas más evidentes.</w:t>
      </w:r>
    </w:p>
    <w:p>
      <w:pPr>
        <w:pStyle w:val="Heading2"/>
        <w:keepNext/>
        <w:keepLines/>
      </w:pPr>
      <w:r>
        <w:rPr>
          <w:color w:val="0066CC"/>
        </w:rPr>
        <w:t>Diapositivas 9–12 – Resultados por objetivo ON1–ON4</w:t>
      </w:r>
    </w:p>
    <w:p>
      <w:r>
        <w:t>Para cada objetivo:</w:t>
      </w:r>
    </w:p>
    <w:p>
      <w:pPr>
        <w:pStyle w:val="ListBullet"/>
        <w:keepLines w:val="1"/>
        <w:keepNext w:val="1"/>
        <w:widowControl w:val="1"/>
      </w:pPr>
      <w:r>
        <w:t>ON1: M1.1, M1.2, M2.3.</w:t>
      </w:r>
    </w:p>
    <w:p>
      <w:pPr>
        <w:pStyle w:val="ListBullet"/>
        <w:keepLines w:val="1"/>
        <w:keepNext w:val="1"/>
        <w:widowControl w:val="1"/>
      </w:pPr>
      <w:r>
        <w:t>ON2: M2.1, M3.1, M3.2, M3.3.</w:t>
      </w:r>
    </w:p>
    <w:p>
      <w:pPr>
        <w:pStyle w:val="ListBullet"/>
        <w:keepLines w:val="1"/>
        <w:keepNext w:val="1"/>
        <w:widowControl w:val="1"/>
      </w:pPr>
      <w:r>
        <w:t>ON3: M5.1, M5.2, M5.3.</w:t>
      </w:r>
    </w:p>
    <w:p>
      <w:pPr>
        <w:pStyle w:val="ListBullet"/>
        <w:keepLines w:val="1"/>
        <w:widowControl w:val="1"/>
      </w:pPr>
      <w:r>
        <w:t>ON4: M6.1, M6.2, M6.3.</w:t>
      </w:r>
    </w:p>
    <w:p>
      <w:r>
        <w:t>Cada diapositiva incluye:</w:t>
      </w:r>
    </w:p>
    <w:p>
      <w:pPr>
        <w:pStyle w:val="ListBullet"/>
        <w:keepLines w:val="1"/>
        <w:keepNext w:val="1"/>
        <w:widowControl w:val="1"/>
      </w:pPr>
      <w:r>
        <w:t>1–2 gráficos.</w:t>
      </w:r>
    </w:p>
    <w:p>
      <w:pPr>
        <w:pStyle w:val="ListBullet"/>
        <w:keepLines w:val="1"/>
        <w:widowControl w:val="1"/>
      </w:pPr>
      <w:r>
        <w:t>2–3 mensajes interpretativos.</w:t>
      </w:r>
    </w:p>
    <w:p>
      <w:pPr>
        <w:pStyle w:val="Heading2"/>
        <w:keepNext/>
        <w:keepLines/>
      </w:pPr>
      <w:r>
        <w:rPr>
          <w:color w:val="0066CC"/>
        </w:rPr>
        <w:t>Diapositiva 13 – Relación entre IGM y resultados</w:t>
      </w:r>
    </w:p>
    <w:p>
      <w:pPr>
        <w:pStyle w:val="ListBullet"/>
        <w:keepLines w:val="1"/>
        <w:keepNext w:val="1"/>
        <w:widowControl w:val="1"/>
      </w:pPr>
      <w:r>
        <w:t>Gráfico de dispersión:</w:t>
      </w:r>
    </w:p>
    <w:p>
      <w:pPr>
        <w:pStyle w:val="ListBullet"/>
        <w:keepLines w:val="1"/>
        <w:keepNext w:val="1"/>
        <w:widowControl w:val="1"/>
      </w:pPr>
      <w:r>
        <w:t>Eje X: IGM.</w:t>
      </w:r>
    </w:p>
    <w:p>
      <w:pPr>
        <w:pStyle w:val="ListBullet"/>
        <w:keepLines w:val="1"/>
        <w:keepNext w:val="1"/>
        <w:widowControl w:val="1"/>
      </w:pPr>
      <w:r>
        <w:t>Eje Y: nº de incidentes graves / tiempo de recuperación.</w:t>
      </w:r>
    </w:p>
    <w:p>
      <w:pPr>
        <w:pStyle w:val="ListBullet"/>
        <w:keepLines w:val="1"/>
        <w:widowControl w:val="1"/>
      </w:pPr>
      <w:r>
        <w:t>Mensaje prudente: correlaciones observadas, sin prometer milagros.</w:t>
      </w:r>
    </w:p>
    <w:p>
      <w:pPr>
        <w:pStyle w:val="Heading2"/>
        <w:keepNext/>
        <w:keepLines/>
      </w:pPr>
      <w:r>
        <w:rPr>
          <w:color w:val="0066CC"/>
        </w:rPr>
        <w:t>Diapositiva 14 – ROI aproximado de CTEM</w:t>
      </w:r>
    </w:p>
    <w:p>
      <w:pPr>
        <w:pStyle w:val="ListBullet"/>
        <w:keepLines w:val="1"/>
        <w:keepNext w:val="1"/>
        <w:widowControl w:val="1"/>
      </w:pPr>
      <w:r>
        <w:t>Tabla con:</w:t>
      </w:r>
    </w:p>
    <w:p>
      <w:pPr>
        <w:pStyle w:val="ListBullet"/>
        <w:keepLines w:val="1"/>
        <w:keepNext w:val="1"/>
        <w:widowControl w:val="1"/>
      </w:pPr>
      <w:r>
        <w:t>Rango de costes de programas CTEM.</w:t>
      </w:r>
    </w:p>
    <w:p>
      <w:pPr>
        <w:pStyle w:val="ListBullet"/>
        <w:keepLines w:val="1"/>
        <w:keepNext w:val="1"/>
        <w:widowControl w:val="1"/>
      </w:pPr>
      <w:r>
        <w:t>Pérdidas evitadas estimadas.</w:t>
      </w:r>
    </w:p>
    <w:p>
      <w:pPr>
        <w:pStyle w:val="ListBullet"/>
        <w:keepLines w:val="1"/>
        <w:widowControl w:val="1"/>
      </w:pPr>
      <w:r>
        <w:t>ROI medio por sector.</w:t>
      </w:r>
    </w:p>
    <w:p>
      <w:pPr>
        <w:pStyle w:val="Heading2"/>
        <w:keepNext/>
        <w:keepLines/>
      </w:pPr>
      <w:r>
        <w:rPr>
          <w:color w:val="0066CC"/>
        </w:rPr>
        <w:t>Diapositiva 15 – Alineamiento normativo</w:t>
      </w:r>
    </w:p>
    <w:p>
      <w:pPr>
        <w:pStyle w:val="ListBullet"/>
        <w:keepLines w:val="1"/>
        <w:keepNext w:val="1"/>
        <w:widowControl w:val="1"/>
      </w:pPr>
      <w:r>
        <w:t>Mapa de calor:</w:t>
      </w:r>
    </w:p>
    <w:p>
      <w:pPr>
        <w:pStyle w:val="ListBullet"/>
        <w:keepLines w:val="1"/>
        <w:keepNext w:val="1"/>
        <w:widowControl w:val="1"/>
      </w:pPr>
      <w:r>
        <w:t>Métricas (M1.x–M6.x) vs. artículos NIS2/DORA principales.</w:t>
      </w:r>
    </w:p>
    <w:p>
      <w:pPr>
        <w:pStyle w:val="ListBullet"/>
        <w:keepLines w:val="1"/>
        <w:widowControl w:val="1"/>
      </w:pPr>
      <w:r>
        <w:t>Mensaje: CTEM como mecanismo de cumplimiento inteligente y reutilizable.</w:t>
      </w:r>
    </w:p>
    <w:p>
      <w:pPr>
        <w:pStyle w:val="Heading2"/>
        <w:keepNext/>
        <w:keepLines/>
      </w:pPr>
      <w:r>
        <w:rPr>
          <w:color w:val="0066CC"/>
        </w:rPr>
        <w:t>Diapositiva 16 – Brechas y oportunidades</w:t>
      </w:r>
    </w:p>
    <w:p>
      <w:pPr>
        <w:pStyle w:val="ListBullet"/>
        <w:keepLines w:val="1"/>
        <w:keepNext w:val="1"/>
        <w:widowControl w:val="1"/>
      </w:pPr>
      <w:r>
        <w:t>Lista corta de brechas:</w:t>
      </w:r>
    </w:p>
    <w:p>
      <w:pPr>
        <w:pStyle w:val="ListBullet"/>
        <w:keepLines w:val="1"/>
        <w:keepNext w:val="1"/>
        <w:widowControl w:val="1"/>
      </w:pPr>
      <w:r>
        <w:t>Métricas débiles o ausentes.</w:t>
      </w:r>
    </w:p>
    <w:p>
      <w:pPr>
        <w:pStyle w:val="ListBullet"/>
        <w:keepLines w:val="1"/>
        <w:keepNext w:val="1"/>
        <w:widowControl w:val="1"/>
      </w:pPr>
      <w:r>
        <w:t>Sectores rezagados en IGM.</w:t>
      </w:r>
    </w:p>
    <w:p>
      <w:pPr>
        <w:pStyle w:val="ListBullet"/>
        <w:keepLines w:val="1"/>
        <w:keepNext w:val="1"/>
        <w:widowControl w:val="1"/>
      </w:pPr>
      <w:r>
        <w:t>Oportunidades:</w:t>
      </w:r>
    </w:p>
    <w:p>
      <w:pPr>
        <w:pStyle w:val="ListBullet"/>
        <w:keepLines w:val="1"/>
        <w:keepNext w:val="1"/>
        <w:widowControl w:val="1"/>
      </w:pPr>
      <w:r>
        <w:t>Programas de apoyo.</w:t>
      </w:r>
    </w:p>
    <w:p>
      <w:pPr>
        <w:pStyle w:val="ListBullet"/>
        <w:keepLines w:val="1"/>
        <w:keepNext w:val="1"/>
        <w:widowControl w:val="1"/>
      </w:pPr>
      <w:r>
        <w:t>Incentivos regulatorios.</w:t>
      </w:r>
    </w:p>
    <w:p>
      <w:pPr>
        <w:pStyle w:val="ListBullet"/>
        <w:keepLines w:val="1"/>
        <w:widowControl w:val="1"/>
      </w:pPr>
      <w:r>
        <w:t>Plataformas comunes.</w:t>
      </w:r>
    </w:p>
    <w:p>
      <w:pPr>
        <w:pStyle w:val="Heading2"/>
        <w:keepNext/>
        <w:keepLines/>
      </w:pPr>
      <w:r>
        <w:rPr>
          <w:color w:val="0066CC"/>
        </w:rPr>
        <w:t>Diapositiva 17 – Recomendaciones estratégicas</w:t>
      </w:r>
    </w:p>
    <w:p>
      <w:pPr>
        <w:pStyle w:val="ListBullet"/>
        <w:keepLines w:val="1"/>
        <w:keepNext w:val="1"/>
        <w:widowControl w:val="1"/>
      </w:pPr>
      <w:r>
        <w:t>3–5 recomendaciones:</w:t>
      </w:r>
    </w:p>
    <w:p>
      <w:pPr>
        <w:pStyle w:val="ListBullet"/>
        <w:keepLines w:val="1"/>
        <w:keepNext w:val="1"/>
        <w:widowControl w:val="1"/>
      </w:pPr>
      <w:r>
        <w:t>Corto plazo: mejorar inventarios, SLAs, reporting.</w:t>
      </w:r>
    </w:p>
    <w:p>
      <w:pPr>
        <w:pStyle w:val="ListBullet"/>
        <w:keepLines w:val="1"/>
        <w:keepNext w:val="1"/>
        <w:widowControl w:val="1"/>
      </w:pPr>
      <w:r>
        <w:t>Medio plazo: capacidades BAS/red team nacionales, integración de datos.</w:t>
      </w:r>
    </w:p>
    <w:p>
      <w:pPr>
        <w:pStyle w:val="ListBullet"/>
        <w:keepLines w:val="1"/>
        <w:widowControl w:val="1"/>
      </w:pPr>
      <w:r>
        <w:t>Largo plazo: cultura de exposición y resiliencia.</w:t>
      </w:r>
    </w:p>
    <w:p>
      <w:pPr>
        <w:pStyle w:val="Heading2"/>
        <w:keepNext/>
        <w:keepLines/>
      </w:pPr>
      <w:r>
        <w:rPr>
          <w:color w:val="0066CC"/>
        </w:rPr>
        <w:t>Diapositiva 18 – Próximos pasos</w:t>
      </w:r>
    </w:p>
    <w:p>
      <w:pPr>
        <w:pStyle w:val="ListBullet"/>
        <w:keepLines w:val="1"/>
        <w:keepNext w:val="1"/>
        <w:widowControl w:val="1"/>
      </w:pPr>
      <w:r>
        <w:t>Calendario tentativo:</w:t>
      </w:r>
    </w:p>
    <w:p>
      <w:pPr>
        <w:pStyle w:val="ListBullet"/>
        <w:keepLines w:val="1"/>
        <w:keepNext w:val="1"/>
        <w:widowControl w:val="1"/>
      </w:pPr>
      <w:r>
        <w:t>Nueva oleada de encuesta.</w:t>
      </w:r>
    </w:p>
    <w:p>
      <w:pPr>
        <w:pStyle w:val="ListBullet"/>
        <w:keepLines w:val="1"/>
        <w:keepNext w:val="1"/>
        <w:widowControl w:val="1"/>
      </w:pPr>
      <w:r>
        <w:t>Mejora de métricas y PRAGMATIC.</w:t>
      </w:r>
    </w:p>
    <w:p>
      <w:pPr>
        <w:pStyle w:val="ListBullet"/>
        <w:keepLines w:val="1"/>
        <w:widowControl w:val="1"/>
      </w:pPr>
      <w:r>
        <w:t>Despliegue de cuadros de mando nacionales/sectoriales.</w:t>
      </w:r>
    </w:p>
    <w:p>
      <w:pPr>
        <w:pStyle w:val="Heading2"/>
        <w:keepNext/>
        <w:keepLines/>
      </w:pPr>
      <w:r>
        <w:rPr>
          <w:color w:val="0066CC"/>
        </w:rPr>
        <w:t>Diapositiva 19 – Limitaciones y cautelas</w:t>
      </w:r>
    </w:p>
    <w:p>
      <w:pPr>
        <w:pStyle w:val="ListBullet"/>
        <w:keepLines w:val="1"/>
        <w:keepNext w:val="1"/>
        <w:widowControl w:val="1"/>
      </w:pPr>
      <w:r>
        <w:t>Declarar:</w:t>
      </w:r>
    </w:p>
    <w:p>
      <w:pPr>
        <w:pStyle w:val="ListBullet"/>
        <w:keepLines w:val="1"/>
        <w:keepNext w:val="1"/>
        <w:widowControl w:val="1"/>
      </w:pPr>
      <w:r>
        <w:t>Limitaciones de datos.</w:t>
      </w:r>
    </w:p>
    <w:p>
      <w:pPr>
        <w:pStyle w:val="ListBullet"/>
        <w:keepLines w:val="1"/>
        <w:keepNext w:val="1"/>
        <w:widowControl w:val="1"/>
      </w:pPr>
      <w:r>
        <w:t>Hipótesis de modelos de ROI.</w:t>
      </w:r>
    </w:p>
    <w:p>
      <w:pPr>
        <w:pStyle w:val="ListBullet"/>
        <w:keepLines w:val="1"/>
        <w:widowControl w:val="1"/>
      </w:pPr>
      <w:r>
        <w:t>Ámbitos fuera de alcance.</w:t>
      </w:r>
    </w:p>
    <w:p>
      <w:pPr>
        <w:pStyle w:val="Heading2"/>
        <w:keepNext/>
        <w:keepLines/>
      </w:pPr>
      <w:r>
        <w:rPr>
          <w:color w:val="0066CC"/>
        </w:rPr>
        <w:t>Diapositiva 20 – Cierre</w:t>
      </w:r>
    </w:p>
    <w:p>
      <w:pPr>
        <w:pStyle w:val="ListBullet"/>
        <w:keepLines w:val="1"/>
        <w:keepNext w:val="1"/>
        <w:widowControl w:val="1"/>
      </w:pPr>
      <w:r>
        <w:t>Mensaje final: CTEM como política de Estado, no sólo como proyecto de TI.</w:t>
      </w:r>
    </w:p>
    <w:p>
      <w:pPr>
        <w:pStyle w:val="ListBullet"/>
        <w:keepLines w:val="1"/>
        <w:widowControl w:val="1"/>
      </w:pPr>
      <w:r>
        <w:t>Contactos y vías de colaboración.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