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sobre Agentic IA y Ciberseguridad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Este kit incluye los siguientes archivos en formato Markdown (.md):</w:t>
      </w:r>
    </w:p>
    <w:p>
      <w:pPr>
        <w:pStyle w:val="ListNumber"/>
        <w:keepLines w:val="1"/>
        <w:keepNext w:val="1"/>
        <w:widowControl w:val="1"/>
      </w:pPr>
      <w:r>
        <w:t xml:space="preserve">00-README-Kit-Encuesta.md – Este documento.  </w:t>
      </w:r>
    </w:p>
    <w:p>
      <w:pPr>
        <w:pStyle w:val="ListNumber"/>
        <w:keepLines w:val="1"/>
        <w:keepNext w:val="1"/>
        <w:widowControl w:val="1"/>
      </w:pPr>
      <w:r>
        <w:t xml:space="preserve">01-Encuesta-Agentic-AI.md – Modelo de encuesta integral para organizaciones.  </w:t>
      </w:r>
    </w:p>
    <w:p>
      <w:pPr>
        <w:pStyle w:val="ListNumber"/>
        <w:keepLines w:val="1"/>
        <w:keepNext w:val="1"/>
        <w:widowControl w:val="1"/>
      </w:pPr>
      <w:r>
        <w:t xml:space="preserve">02-Guia-Metodologica.md – Guía para aplicar, puntuar e interpretar la encuesta.  </w:t>
      </w:r>
    </w:p>
    <w:p>
      <w:pPr>
        <w:pStyle w:val="ListNumber"/>
        <w:keepLines w:val="1"/>
        <w:keepNext w:val="1"/>
        <w:widowControl w:val="1"/>
      </w:pPr>
      <w:r>
        <w:t xml:space="preserve">03-Narrativa-Explicativa.md – Texto explicativo para decisores y equipos.  </w:t>
      </w:r>
    </w:p>
    <w:p>
      <w:pPr>
        <w:pStyle w:val="ListNumber"/>
        <w:keepLines w:val="1"/>
        <w:keepNext w:val="1"/>
        <w:widowControl w:val="1"/>
      </w:pPr>
      <w:r>
        <w:t xml:space="preserve">04-Mapeo-Preguntas-Normativa.md – Tabla de mapeo de preguntas a RGPD, AEPD, NIST, ENISA y perfil Agentic IA.  </w:t>
      </w:r>
    </w:p>
    <w:p>
      <w:pPr>
        <w:pStyle w:val="ListNumber"/>
        <w:keepLines w:val="1"/>
        <w:keepNext w:val="1"/>
        <w:widowControl w:val="1"/>
      </w:pPr>
      <w:r>
        <w:t xml:space="preserve">05-Plantilla-Excel-IGM-ROI.md – Especificación para crear la hoja de cálculo de IGM y ROI.  </w:t>
      </w:r>
    </w:p>
    <w:p>
      <w:pPr>
        <w:pStyle w:val="ListNumber"/>
        <w:keepLines w:val="1"/>
        <w:widowControl w:val="1"/>
      </w:pPr>
      <w:r>
        <w:t>06-Reporte-Ejecutivo-PPT.md – Guion para preparar una presentación ejecutiva.</w:t>
      </w:r>
    </w:p>
    <w:p>
      <w:pPr>
        <w:pStyle w:val="Heading2"/>
        <w:keepNext/>
        <w:keepLines/>
      </w:pPr>
      <w:r>
        <w:rPr>
          <w:color w:val="0066CC"/>
        </w:rPr>
        <w:t>2. Objetivo</w:t>
      </w:r>
    </w:p>
    <w:p>
      <w:r>
        <w:t>El kit permite:</w:t>
      </w:r>
    </w:p>
    <w:p>
      <w:pPr>
        <w:pStyle w:val="ListBullet"/>
        <w:keepLines w:val="1"/>
        <w:keepNext w:val="1"/>
        <w:widowControl w:val="1"/>
      </w:pPr>
      <w:r>
        <w:t xml:space="preserve">Evaluar el grado de madurez de una organización frente a la Agentic IA.  </w:t>
      </w:r>
    </w:p>
    <w:p>
      <w:pPr>
        <w:pStyle w:val="ListBullet"/>
        <w:keepLines w:val="1"/>
        <w:keepNext w:val="1"/>
        <w:widowControl w:val="1"/>
      </w:pPr>
      <w:r>
        <w:t xml:space="preserve">Medir la adopción de métricas como UAR, PAR, PED, RRS, CES y TTC.  </w:t>
      </w:r>
    </w:p>
    <w:p>
      <w:pPr>
        <w:pStyle w:val="ListBullet"/>
        <w:keepLines w:val="1"/>
        <w:keepNext w:val="1"/>
        <w:widowControl w:val="1"/>
      </w:pPr>
      <w:r>
        <w:t xml:space="preserve">Verificar alineamiento con RGPD, guía AEPD, NIST AI RMF, perfil Agentic IA y marcos de ENISA.  </w:t>
      </w:r>
    </w:p>
    <w:p>
      <w:pPr>
        <w:pStyle w:val="ListBullet"/>
        <w:keepLines w:val="1"/>
        <w:widowControl w:val="1"/>
      </w:pPr>
      <w:r>
        <w:t>Estimar un ROI que incorpore no solo productividad, sino también resiliencia y reducción de incidentes.</w:t>
      </w:r>
    </w:p>
    <w:p>
      <w:pPr>
        <w:pStyle w:val="Heading2"/>
        <w:keepNext/>
        <w:keepLines/>
      </w:pPr>
      <w:r>
        <w:rPr>
          <w:color w:val="0066CC"/>
        </w:rPr>
        <w:t>3. Cómo usarlo (resumen rápido)</w:t>
      </w:r>
    </w:p>
    <w:p>
      <w:pPr>
        <w:pStyle w:val="ListNumber"/>
        <w:keepLines w:val="1"/>
        <w:keepNext w:val="1"/>
        <w:widowControl w:val="1"/>
      </w:pPr>
      <w:r>
        <w:t xml:space="preserve">Leer 03-Narrativa-Explicativa.md para entender el enfoque.  </w:t>
      </w:r>
    </w:p>
    <w:p>
      <w:pPr>
        <w:pStyle w:val="ListNumber"/>
        <w:keepLines w:val="1"/>
        <w:keepNext w:val="1"/>
        <w:widowControl w:val="1"/>
      </w:pPr>
      <w:r>
        <w:t xml:space="preserve">Aplicar la encuesta (01-Encuesta-Agentic-AI.md) con los responsables clave.  </w:t>
      </w:r>
    </w:p>
    <w:p>
      <w:pPr>
        <w:pStyle w:val="ListNumber"/>
        <w:keepLines w:val="1"/>
        <w:keepNext w:val="1"/>
        <w:widowControl w:val="1"/>
      </w:pPr>
      <w:r>
        <w:t xml:space="preserve">Utilizar la 02-Guia-Metodologica.md para puntuar respuestas y obtener el IGM.  </w:t>
      </w:r>
    </w:p>
    <w:p>
      <w:pPr>
        <w:pStyle w:val="ListNumber"/>
        <w:keepLines w:val="1"/>
        <w:keepNext w:val="1"/>
        <w:widowControl w:val="1"/>
      </w:pPr>
      <w:r>
        <w:t xml:space="preserve">Construir la hoja de cálculo de acuerdo con 05-Plantilla-Excel-IGM-ROI.md.  </w:t>
      </w:r>
    </w:p>
    <w:p>
      <w:pPr>
        <w:pStyle w:val="ListNumber"/>
        <w:keepLines w:val="1"/>
        <w:keepNext w:val="1"/>
        <w:widowControl w:val="1"/>
      </w:pPr>
      <w:r>
        <w:t xml:space="preserve">Preparar el reporte ejecutivo siguiendo 06-Reporte-Ejecutivo-PPT.md.  </w:t>
      </w:r>
    </w:p>
    <w:p>
      <w:pPr>
        <w:pStyle w:val="ListNumber"/>
        <w:keepLines w:val="1"/>
        <w:widowControl w:val="1"/>
      </w:pPr>
      <w:r>
        <w:t>Consultar 04-Mapeo-Preguntas-Normativa.md para revisar cumplimiento normativo.</w:t>
      </w:r>
    </w:p>
    <w:p>
      <w:pPr>
        <w:pStyle w:val="Heading2"/>
        <w:keepNext/>
        <w:keepLines/>
      </w:pPr>
      <w:r>
        <w:rPr>
          <w:color w:val="0066CC"/>
        </w:rPr>
        <w:t>4. Actualización y mantenimiento</w:t>
      </w:r>
    </w:p>
    <w:p>
      <w:r>
        <w:t>Dado que el perfil de Agentic IA y las guías regulatorias están evolucionando rápidamente, se recomienda:</w:t>
      </w:r>
    </w:p>
    <w:p>
      <w:pPr>
        <w:pStyle w:val="ListBullet"/>
        <w:keepLines w:val="1"/>
        <w:keepNext w:val="1"/>
        <w:widowControl w:val="1"/>
      </w:pPr>
      <w:r>
        <w:t xml:space="preserve">Revisar y actualizar el kit al menos una vez al año.  </w:t>
      </w:r>
    </w:p>
    <w:p>
      <w:pPr>
        <w:pStyle w:val="ListBullet"/>
        <w:keepLines w:val="1"/>
        <w:widowControl w:val="1"/>
      </w:pPr>
      <w:r>
        <w:t>Incorporar nuevas métricas y requisitos normativos que surjan de ENISA, AEPD, NIST u otros organismos.</w:t>
      </w:r>
    </w:p>
    <w:p>
      <w:pPr>
        <w:pStyle w:val="Heading2"/>
        <w:keepNext/>
        <w:keepLines/>
      </w:pPr>
      <w:r>
        <w:rPr>
          <w:color w:val="0066CC"/>
        </w:rPr>
        <w:t>5. Licencia y adaptación</w:t>
      </w:r>
    </w:p>
    <w:p>
      <w:r>
        <w:t>El contenido está diseñado para ser adaptado por la organización:</w:t>
      </w:r>
    </w:p>
    <w:p>
      <w:pPr>
        <w:pStyle w:val="ListBullet"/>
        <w:keepLines w:val="1"/>
        <w:keepNext w:val="1"/>
        <w:widowControl w:val="1"/>
      </w:pPr>
      <w:r>
        <w:t xml:space="preserve">Puede personalizarse el lenguaje, las escalas y las ponderaciones.  </w:t>
      </w:r>
    </w:p>
    <w:p>
      <w:pPr>
        <w:pStyle w:val="ListBullet"/>
        <w:keepLines w:val="1"/>
        <w:widowControl w:val="1"/>
      </w:pPr>
      <w:r>
        <w:t xml:space="preserve">Se recomienda mantener la trazabilidad con las fuentes (CLTC Berkeley, AEPD, ENISA) al realizar adaptaciones.  </w:t>
      </w:r>
    </w:p>
    <w:p>
      <w:r>
        <w:t>Si después de usar este kit descubre que sus agentes son más responsables que algunos procesos humanos, enhorabuena: ha encontrado una oportunidad magnífica para alinear técnicamente la casa… empezando por las personas.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