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para responsables de la organización</w:t>
      </w:r>
    </w:p>
    <w:p>
      <w:pPr>
        <w:pStyle w:val="Heading2"/>
        <w:keepNext/>
        <w:keepLines/>
      </w:pPr>
      <w:r>
        <w:rPr>
          <w:color w:val="0066CC"/>
        </w:rPr>
        <w:t>1. Por qué esta encuesta ahora</w:t>
      </w:r>
    </w:p>
    <w:p>
      <w:r>
        <w:t>Los agentes de IA han entrado en la organización por múltiples puertas: el chatbot entusiasta, el asistente de código, el analista incansable que nunca duerme. Todos prometen productividad; algunos, discretamente, prometen también sobresaltos. La encuesta nace para responder a una pregunta incómoda: ¿quién gobierna realmente a quién?</w:t>
      </w:r>
    </w:p>
    <w:p>
      <w:pPr>
        <w:pStyle w:val="Heading2"/>
        <w:keepNext/>
        <w:keepLines/>
      </w:pPr>
      <w:r>
        <w:rPr>
          <w:color w:val="0066CC"/>
        </w:rPr>
        <w:t>2. Qué pretende revelar</w:t>
      </w:r>
    </w:p>
    <w:p>
      <w:r>
        <w:t>El cuestionario no busca culpables, sino patrones:</w:t>
      </w:r>
    </w:p>
    <w:p>
      <w:pPr>
        <w:pStyle w:val="ListBullet"/>
        <w:keepLines w:val="1"/>
        <w:keepNext w:val="1"/>
        <w:widowControl w:val="1"/>
      </w:pPr>
      <w:r>
        <w:t xml:space="preserve">Dónde se está usando Agentic IA sin que nadie haya formalizado la decisión.  </w:t>
      </w:r>
    </w:p>
    <w:p>
      <w:pPr>
        <w:pStyle w:val="ListBullet"/>
        <w:keepLines w:val="1"/>
        <w:keepNext w:val="1"/>
        <w:widowControl w:val="1"/>
      </w:pPr>
      <w:r>
        <w:t xml:space="preserve">Qué datos se ponen en manos de agentes que “aprenden” más de la cuenta.  </w:t>
      </w:r>
    </w:p>
    <w:p>
      <w:pPr>
        <w:pStyle w:val="ListBullet"/>
        <w:keepLines w:val="1"/>
        <w:widowControl w:val="1"/>
      </w:pPr>
      <w:r>
        <w:t xml:space="preserve">Qué métrica se mide con pasión (MTTT, TTC, falsos positivos) y cuál se ignora (UAR, PAR, PED).  </w:t>
      </w:r>
    </w:p>
    <w:p>
      <w:r>
        <w:t>Cada bloque de preguntas ilumina un ángulo: gobernanza, datos, métricas, cumplimiento, cultura y ROI.</w:t>
      </w:r>
    </w:p>
    <w:p>
      <w:pPr>
        <w:pStyle w:val="Heading2"/>
        <w:keepNext/>
        <w:keepLines/>
      </w:pPr>
      <w:r>
        <w:rPr>
          <w:color w:val="0066CC"/>
        </w:rPr>
        <w:t>3. Cómo leer las respuestas</w:t>
      </w:r>
    </w:p>
    <w:p>
      <w:r>
        <w:t>Las respuestas no son un examen; son un espejo:</w:t>
      </w:r>
    </w:p>
    <w:p>
      <w:pPr>
        <w:pStyle w:val="ListBullet"/>
        <w:keepLines w:val="1"/>
        <w:keepNext w:val="1"/>
        <w:widowControl w:val="1"/>
      </w:pPr>
      <w:r>
        <w:t xml:space="preserve">Un “No” no es una condena, sino un mapa de acción.  </w:t>
      </w:r>
    </w:p>
    <w:p>
      <w:pPr>
        <w:pStyle w:val="ListBullet"/>
        <w:keepLines w:val="1"/>
        <w:keepNext w:val="1"/>
        <w:widowControl w:val="1"/>
      </w:pPr>
      <w:r>
        <w:t xml:space="preserve">Un “En diseño” indica que la organización ya ha oído el trueno; falta decidir cuán fuerte desea que llueva.  </w:t>
      </w:r>
    </w:p>
    <w:p>
      <w:pPr>
        <w:pStyle w:val="ListBullet"/>
        <w:keepLines w:val="1"/>
        <w:widowControl w:val="1"/>
      </w:pPr>
      <w:r>
        <w:t>Un “Sí, formalizado” no garantiza el paraíso: las métricas de comportamiento del agente exigen revisión continua, porque los agentes aprenden, se adaptan y, a veces, improvisan.</w:t>
      </w:r>
    </w:p>
    <w:p>
      <w:pPr>
        <w:pStyle w:val="Heading2"/>
        <w:keepNext/>
        <w:keepLines/>
      </w:pPr>
      <w:r>
        <w:rPr>
          <w:color w:val="0066CC"/>
        </w:rPr>
        <w:t>4. El papel de las métricas Agentic (UAR, PAR, PED…)</w:t>
      </w:r>
    </w:p>
    <w:p>
      <w:r>
        <w:t>Las métricas específicas (UAR, PAR, PED, RRS, CES) son la forma madura de reconocer que no basta con “tener IA”, sino que hace falta gobernar su comportamiento:</w:t>
      </w:r>
    </w:p>
    <w:p>
      <w:pPr>
        <w:pStyle w:val="ListBullet"/>
        <w:keepLines w:val="1"/>
        <w:keepNext w:val="1"/>
        <w:widowControl w:val="1"/>
      </w:pPr>
      <w:r>
        <w:t xml:space="preserve">UAR pregunta: “¿Con qué frecuencia el agente se sale del carril?”.  </w:t>
      </w:r>
    </w:p>
    <w:p>
      <w:pPr>
        <w:pStyle w:val="ListBullet"/>
        <w:keepLines w:val="1"/>
        <w:keepNext w:val="1"/>
        <w:widowControl w:val="1"/>
      </w:pPr>
      <w:r>
        <w:t xml:space="preserve">PAR recuerda: “¿Cuántas de sus acciones están realmente alineadas con las políticas?”.  </w:t>
      </w:r>
    </w:p>
    <w:p>
      <w:pPr>
        <w:pStyle w:val="ListBullet"/>
        <w:keepLines w:val="1"/>
        <w:widowControl w:val="1"/>
      </w:pPr>
      <w:r>
        <w:t xml:space="preserve">PED susurra: “¿Cuántos escalones de privilegio ha subido el agente sin que nadie se diera cuenta?”.  </w:t>
      </w:r>
    </w:p>
    <w:p>
      <w:r>
        <w:t>La encuesta ayuda a determinar si estas preguntas ya se están haciendo dentro de la casa o si siguen siendo temas de sobremesa en conferencias.</w:t>
      </w:r>
    </w:p>
    <w:p>
      <w:pPr>
        <w:pStyle w:val="Heading2"/>
        <w:keepNext/>
        <w:keepLines/>
      </w:pPr>
      <w:r>
        <w:rPr>
          <w:color w:val="0066CC"/>
        </w:rPr>
        <w:t>5. La brújula normativa (RGPD, AEPD, NIST, ENISA)</w:t>
      </w:r>
    </w:p>
    <w:p>
      <w:r>
        <w:t>Más allá del glamour tecnológico, hay normas:</w:t>
      </w:r>
    </w:p>
    <w:p>
      <w:pPr>
        <w:pStyle w:val="ListBullet"/>
        <w:keepLines w:val="1"/>
        <w:keepNext w:val="1"/>
        <w:widowControl w:val="1"/>
      </w:pPr>
      <w:r>
        <w:t xml:space="preserve">El RGPD y la guía de la AEPD exigen saber qué datos tocan los agentes, con qué base jurídica, durante cuánto tiempo, y quién responde cuando algo sale mal.  </w:t>
      </w:r>
    </w:p>
    <w:p>
      <w:pPr>
        <w:pStyle w:val="ListBullet"/>
        <w:keepLines w:val="1"/>
        <w:keepNext w:val="1"/>
        <w:widowControl w:val="1"/>
      </w:pPr>
      <w:r>
        <w:t xml:space="preserve">El perfil de Agentic IA de Berkeley y el NIST AI RMF proporcionan un vocabulario para hablar de riesgos y controles sin reducirlo todo a “magia negra”.  </w:t>
      </w:r>
    </w:p>
    <w:p>
      <w:pPr>
        <w:pStyle w:val="ListBullet"/>
        <w:keepLines w:val="1"/>
        <w:widowControl w:val="1"/>
      </w:pPr>
      <w:r>
        <w:t xml:space="preserve">ENISA propone un marco en capas que recuerda una enseñanza básica: primero la ciberseguridad clásica, luego la específica de IA.  </w:t>
      </w:r>
    </w:p>
    <w:p>
      <w:r>
        <w:t>La encuesta sirve para verificar si la organización está alineada con esta brújula o navega a ojo.</w:t>
      </w:r>
    </w:p>
    <w:p>
      <w:pPr>
        <w:pStyle w:val="Heading2"/>
        <w:keepNext/>
        <w:keepLines/>
      </w:pPr>
      <w:r>
        <w:rPr>
          <w:color w:val="0066CC"/>
        </w:rPr>
        <w:t>6. Qué debería pasar después</w:t>
      </w:r>
    </w:p>
    <w:p>
      <w:r>
        <w:t>Tras completar la encuesta, se sugieren tres movimientos elegantes:</w:t>
      </w:r>
    </w:p>
    <w:p>
      <w:pPr>
        <w:pStyle w:val="ListNumber"/>
        <w:keepLines w:val="1"/>
        <w:keepNext w:val="1"/>
        <w:widowControl w:val="1"/>
      </w:pPr>
      <w:r>
        <w:t xml:space="preserve">Poner números al presentimiento  </w:t>
      </w:r>
    </w:p>
    <w:p>
      <w:pPr>
        <w:pStyle w:val="ListNumber"/>
        <w:keepLines w:val="1"/>
        <w:keepNext w:val="1"/>
        <w:widowControl w:val="1"/>
      </w:pPr>
      <w:r>
        <w:br/>
        <w:t xml:space="preserve">Calcular el IGM y, si se quiere ir más allá, un ROI de la Agentic IA que incluya tanto ahorros como siniestros evitados.  </w:t>
        <w:br/>
      </w:r>
    </w:p>
    <w:p>
      <w:pPr>
        <w:pStyle w:val="ListNumber"/>
        <w:keepLines w:val="1"/>
        <w:keepNext w:val="1"/>
        <w:widowControl w:val="1"/>
      </w:pPr>
      <w:r>
        <w:br/>
        <w:t xml:space="preserve">Convertir hallazgos en decisiones  </w:t>
        <w:br/>
      </w:r>
    </w:p>
    <w:p>
      <w:pPr>
        <w:pStyle w:val="ListNumber"/>
        <w:keepLines w:val="1"/>
        <w:keepNext w:val="1"/>
        <w:widowControl w:val="1"/>
      </w:pPr>
      <w:r>
        <w:br/>
        <w:t xml:space="preserve">Priorizar acciones: aplicar la Regla de 2, limitar memorias, implementar UAR/PAR, exigir cláusulas contractuales a proveedores, etc.  </w:t>
        <w:br/>
      </w:r>
    </w:p>
    <w:p>
      <w:pPr>
        <w:pStyle w:val="ListNumber"/>
        <w:keepLines w:val="1"/>
        <w:keepNext w:val="1"/>
        <w:widowControl w:val="1"/>
      </w:pPr>
      <w:r>
        <w:br/>
        <w:t xml:space="preserve">Volver a preguntar, periódicamente  </w:t>
        <w:br/>
      </w:r>
    </w:p>
    <w:p>
      <w:pPr>
        <w:pStyle w:val="ListNumber"/>
        <w:keepLines w:val="1"/>
        <w:widowControl w:val="1"/>
      </w:pPr>
      <w:r>
        <w:t xml:space="preserve">No tanto a los agentes, que ya hablan bastante, sino a las personas responsables: ¿ha mejorado nuestro IGM?, ¿se ha reducido el TTC de incidentes Agentic?, ¿sabemos realmente qué puede y qué no puede hacer cada agente?  </w:t>
      </w:r>
    </w:p>
    <w:p>
      <w:r>
        <w:t xml:space="preserve">Calcular el IGM y, si se quiere ir más allá, un ROI de la Agentic IA que incluya tanto ahorros como siniestros evitados.  </w:t>
      </w:r>
    </w:p>
    <w:p>
      <w:r>
        <w:t xml:space="preserve">Convertir hallazgos en decisiones  </w:t>
      </w:r>
    </w:p>
    <w:p>
      <w:r>
        <w:t xml:space="preserve">Priorizar acciones: aplicar la Regla de 2, limitar memorias, implementar UAR/PAR, exigir cláusulas contractuales a proveedores, etc.  </w:t>
      </w:r>
    </w:p>
    <w:p>
      <w:r>
        <w:t xml:space="preserve">Volver a preguntar, periódicamente  </w:t>
      </w:r>
    </w:p>
    <w:p>
      <w:pPr>
        <w:pStyle w:val="Heading2"/>
        <w:keepNext/>
        <w:keepLines/>
      </w:pPr>
      <w:r>
        <w:rPr>
          <w:color w:val="0066CC"/>
        </w:rPr>
        <w:t>7. Cierre</w:t>
      </w:r>
    </w:p>
    <w:p>
      <w:r>
        <w:t>Si al terminar este ejercicio la organización siente una ligera mezcla de alivio, vértigo y ganas de reordenar sus agentes, la encuesta habrá cumplido su propósito: recordarnos que la autonomía sin gobernanza es tan peligrosa en máquinas como en humanos, pero que ambas pueden convivir en paz si alguien se toma en serio el arte de hacer buenas preguntas.</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