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de Excel para cálculo de IGM y ROI de Agentic IA</w:t>
      </w:r>
    </w:p>
    <w:p>
      <w:pPr>
        <w:pStyle w:val="Heading2"/>
        <w:keepNext/>
        <w:keepLines/>
      </w:pPr>
      <w:r>
        <w:rPr>
          <w:color w:val="0066CC"/>
        </w:rPr>
        <w:t>1. Estructura de la hoja “Respuestas”</w:t>
      </w:r>
    </w:p>
    <w:p>
      <w:r>
        <w:t>Columnas sugeridas:</w:t>
      </w:r>
    </w:p>
    <w:p>
      <w:pPr>
        <w:pStyle w:val="ListBullet"/>
        <w:keepLines w:val="1"/>
        <w:keepNext w:val="1"/>
        <w:widowControl w:val="1"/>
      </w:pPr>
      <w:r>
        <w:t xml:space="preserve">A: Nº de pregunta  </w:t>
      </w:r>
    </w:p>
    <w:p>
      <w:pPr>
        <w:pStyle w:val="ListBullet"/>
        <w:keepLines w:val="1"/>
        <w:keepNext w:val="1"/>
        <w:widowControl w:val="1"/>
      </w:pPr>
      <w:r>
        <w:t xml:space="preserve">B: Dimensión (Gobernanza, Métricas, etc.)  </w:t>
      </w:r>
    </w:p>
    <w:p>
      <w:pPr>
        <w:pStyle w:val="ListBullet"/>
        <w:keepLines w:val="1"/>
        <w:keepNext w:val="1"/>
        <w:widowControl w:val="1"/>
      </w:pPr>
      <w:r>
        <w:t xml:space="preserve">C: Respuesta seleccionada (texto)  </w:t>
      </w:r>
    </w:p>
    <w:p>
      <w:pPr>
        <w:pStyle w:val="ListBullet"/>
        <w:keepLines w:val="1"/>
        <w:keepNext w:val="1"/>
        <w:widowControl w:val="1"/>
      </w:pPr>
      <w:r>
        <w:t xml:space="preserve">D: Puntuación (0–4)  </w:t>
      </w:r>
    </w:p>
    <w:p>
      <w:pPr>
        <w:pStyle w:val="ListBullet"/>
        <w:keepLines w:val="1"/>
        <w:widowControl w:val="1"/>
      </w:pPr>
      <w:r>
        <w:t xml:space="preserve">E: Comentarios cualitativos  </w:t>
      </w:r>
    </w:p>
    <w:p>
      <w:r>
        <w:t>Cada fila corresponde a una pregunta de la encuesta.</w:t>
      </w:r>
    </w:p>
    <w:p>
      <w:pPr>
        <w:pStyle w:val="Heading2"/>
        <w:keepNext/>
        <w:keepLines/>
      </w:pPr>
      <w:r>
        <w:rPr>
          <w:color w:val="0066CC"/>
        </w:rPr>
        <w:t>2. Hoja “Ponderaciones”</w:t>
      </w:r>
    </w:p>
    <w:p>
      <w:r>
        <w:t>Columnas:</w:t>
      </w:r>
    </w:p>
    <w:p>
      <w:pPr>
        <w:pStyle w:val="ListBullet"/>
        <w:keepLines w:val="1"/>
        <w:keepNext w:val="1"/>
        <w:widowControl w:val="1"/>
      </w:pPr>
      <w:r>
        <w:t xml:space="preserve">A: Dimensión  </w:t>
      </w:r>
    </w:p>
    <w:p>
      <w:pPr>
        <w:pStyle w:val="ListBullet"/>
        <w:keepLines w:val="1"/>
        <w:widowControl w:val="1"/>
      </w:pPr>
      <w:r>
        <w:t xml:space="preserve">B: Peso (%)  </w:t>
      </w:r>
    </w:p>
    <w:p>
      <w:r>
        <w:t>Ejemplo de pesos (personalizable):</w:t>
      </w:r>
    </w:p>
    <w:p>
      <w:pPr>
        <w:pStyle w:val="ListBullet"/>
        <w:keepLines w:val="1"/>
        <w:keepNext w:val="1"/>
        <w:widowControl w:val="1"/>
      </w:pPr>
      <w:r>
        <w:t xml:space="preserve">Uso de Agentic IA – 10  </w:t>
      </w:r>
    </w:p>
    <w:p>
      <w:pPr>
        <w:pStyle w:val="ListBullet"/>
        <w:keepLines w:val="1"/>
        <w:keepNext w:val="1"/>
        <w:widowControl w:val="1"/>
      </w:pPr>
      <w:r>
        <w:t xml:space="preserve">Gobernanza – 20  </w:t>
      </w:r>
    </w:p>
    <w:p>
      <w:pPr>
        <w:pStyle w:val="ListBullet"/>
        <w:keepLines w:val="1"/>
        <w:keepNext w:val="1"/>
        <w:widowControl w:val="1"/>
      </w:pPr>
      <w:r>
        <w:t xml:space="preserve">Datos y memoria – 15  </w:t>
      </w:r>
    </w:p>
    <w:p>
      <w:pPr>
        <w:pStyle w:val="ListBullet"/>
        <w:keepLines w:val="1"/>
        <w:keepNext w:val="1"/>
        <w:widowControl w:val="1"/>
      </w:pPr>
      <w:r>
        <w:t xml:space="preserve">Métricas Agentic – 20  </w:t>
      </w:r>
    </w:p>
    <w:p>
      <w:pPr>
        <w:pStyle w:val="ListBullet"/>
        <w:keepLines w:val="1"/>
        <w:keepNext w:val="1"/>
        <w:widowControl w:val="1"/>
      </w:pPr>
      <w:r>
        <w:t xml:space="preserve">SOC – 15  </w:t>
      </w:r>
    </w:p>
    <w:p>
      <w:pPr>
        <w:pStyle w:val="ListBullet"/>
        <w:keepLines w:val="1"/>
        <w:keepNext w:val="1"/>
        <w:widowControl w:val="1"/>
      </w:pPr>
      <w:r>
        <w:t xml:space="preserve">Cumplimiento – 10  </w:t>
      </w:r>
    </w:p>
    <w:p>
      <w:pPr>
        <w:pStyle w:val="ListBullet"/>
        <w:keepLines w:val="1"/>
        <w:keepNext w:val="1"/>
        <w:widowControl w:val="1"/>
      </w:pPr>
      <w:r>
        <w:t xml:space="preserve">Cultura – 5  </w:t>
      </w:r>
    </w:p>
    <w:p>
      <w:pPr>
        <w:pStyle w:val="ListBullet"/>
        <w:keepLines w:val="1"/>
        <w:widowControl w:val="1"/>
      </w:pPr>
      <w:r>
        <w:t xml:space="preserve">Incidentes / Estrategia – 5  </w:t>
      </w:r>
    </w:p>
    <w:p>
      <w:pPr>
        <w:pStyle w:val="Heading2"/>
        <w:keepNext/>
        <w:keepLines/>
      </w:pPr>
      <w:r>
        <w:rPr>
          <w:color w:val="0066CC"/>
        </w:rPr>
        <w:t>3. Hoja “IGM”</w:t>
      </w:r>
    </w:p>
    <w:p>
      <w:pPr>
        <w:pStyle w:val="Heading3"/>
        <w:keepNext/>
        <w:keepLines/>
      </w:pPr>
      <w:r>
        <w:t>3.1. Cálculo de IGM por dimensión</w:t>
      </w:r>
    </w:p>
    <w:p>
      <w:r>
        <w:t>Supongamos:</w:t>
      </w:r>
    </w:p>
    <w:p>
      <w:pPr>
        <w:pStyle w:val="ListBullet"/>
        <w:keepLines w:val="1"/>
        <w:keepNext w:val="1"/>
        <w:widowControl w:val="1"/>
      </w:pPr>
      <w:r>
        <w:t xml:space="preserve">En “Respuestas”, columna B contiene la dimensión, columna D la puntuación.  </w:t>
      </w:r>
    </w:p>
    <w:p>
      <w:pPr>
        <w:pStyle w:val="ListBullet"/>
        <w:keepLines w:val="1"/>
        <w:widowControl w:val="1"/>
      </w:pPr>
      <w:r>
        <w:t>En “Ponderaciones”, columna A la dimensión, columna B el peso.</w:t>
      </w:r>
    </w:p>
    <w:p>
      <w:r>
        <w:t>Para cada dimensión (por ejemplo, “Gobernanza”), se puede calcular:</w:t>
      </w:r>
    </w:p>
    <w:p>
      <w:pPr>
        <w:pStyle w:val="ListBullet"/>
        <w:keepLines w:val="1"/>
        <w:keepNext w:val="1"/>
        <w:widowControl w:val="1"/>
      </w:pPr>
      <w:r>
        <w:t xml:space="preserve">Promedio de puntuación:  </w:t>
      </w:r>
    </w:p>
    <w:p>
      <w:pPr>
        <w:pStyle w:val="ListBullet"/>
        <w:keepLines w:val="1"/>
        <w:keepNext w:val="1"/>
        <w:widowControl w:val="1"/>
      </w:pPr>
      <w:r>
        <w:br/>
        <w:t>=PROMEDIO.SI(Respuestas!$B:$B;"Gobernanza";Respuestas!$D:$D)</w:t>
        <w:br/>
      </w:r>
    </w:p>
    <w:p>
      <w:pPr>
        <w:pStyle w:val="ListBullet"/>
        <w:keepLines w:val="1"/>
        <w:keepNext w:val="1"/>
        <w:widowControl w:val="1"/>
      </w:pPr>
      <w:r>
        <w:br/>
        <w:t xml:space="preserve">IGM parcial ponderado:  </w:t>
        <w:br/>
      </w:r>
    </w:p>
    <w:p>
      <w:pPr>
        <w:pStyle w:val="ListBullet"/>
        <w:keepLines w:val="1"/>
        <w:keepNext w:val="1"/>
        <w:widowControl w:val="1"/>
      </w:pPr>
      <w:r>
        <w:t xml:space="preserve">Si el peso está en Ponderaciones!B2:  </w:t>
      </w:r>
    </w:p>
    <w:p>
      <w:pPr>
        <w:pStyle w:val="ListBullet"/>
        <w:keepLines w:val="1"/>
        <w:widowControl w:val="1"/>
      </w:pPr>
      <w:r>
        <w:t>=PROMEDIO.SI(Respuestas!$B:$B;"Gobernanza";Respuestas!$D:$D) * Ponderaciones!B2 / 4</w:t>
      </w:r>
    </w:p>
    <w:p>
      <w:r>
        <w:rPr>
          <w:rFonts w:ascii="Courier New" w:hAnsi="Courier New"/>
          <w:sz w:val="18"/>
        </w:rPr>
        <w:t>=PROMEDIO.SI(Respuestas!$B:$B;"Gobernanza";Respuestas!$D:$D)</w:t>
      </w:r>
    </w:p>
    <w:p>
      <w:r>
        <w:t xml:space="preserve">IGM parcial ponderado:  </w:t>
      </w:r>
    </w:p>
    <w:p>
      <w:r>
        <w:t>Nota: Se divide por 4 porque 4 es el nivel máximo de madurez.</w:t>
      </w:r>
    </w:p>
    <w:p>
      <w:pPr>
        <w:pStyle w:val="Heading3"/>
        <w:keepNext/>
        <w:keepLines/>
      </w:pPr>
      <w:r>
        <w:t>3.2. IGM global</w:t>
      </w:r>
    </w:p>
    <w:p>
      <w:r>
        <w:t xml:space="preserve">En una celda (por ejemplo, </w:t>
      </w:r>
      <w:r>
        <w:rPr>
          <w:rFonts w:ascii="Courier New" w:hAnsi="Courier New"/>
          <w:sz w:val="18"/>
        </w:rPr>
        <w:t>IGM!B10</w:t>
      </w:r>
      <w:r>
        <w:t>):</w:t>
      </w:r>
    </w:p>
    <w:p>
      <w:pPr>
        <w:pStyle w:val="ListBullet"/>
        <w:keepLines w:val="1"/>
        <w:widowControl w:val="1"/>
      </w:pPr>
      <w:r>
        <w:t>=SUMA(IGM!B2:IGM!B9)</w:t>
      </w:r>
    </w:p>
    <w:p>
      <w:r>
        <w:t>Esta fórmula suma los IGM parciales ponderados de todas las dimensiones.</w:t>
      </w:r>
    </w:p>
    <w:p>
      <w:pPr>
        <w:pStyle w:val="Heading2"/>
        <w:keepNext/>
        <w:keepLines/>
      </w:pPr>
      <w:r>
        <w:rPr>
          <w:color w:val="0066CC"/>
        </w:rPr>
        <w:t>4. Hoja “ROI”</w:t>
      </w:r>
    </w:p>
    <w:p>
      <w:pPr>
        <w:pStyle w:val="Heading3"/>
        <w:keepNext/>
        <w:keepLines/>
      </w:pPr>
      <w:r>
        <w:t>4.1. Variables sugeridas</w:t>
      </w:r>
    </w:p>
    <w:p>
      <w:r>
        <w:t>Columnas:</w:t>
      </w:r>
    </w:p>
    <w:p>
      <w:pPr>
        <w:pStyle w:val="ListBullet"/>
        <w:keepLines w:val="1"/>
        <w:keepNext w:val="1"/>
        <w:widowControl w:val="1"/>
      </w:pPr>
      <w:r>
        <w:t xml:space="preserve">A: Concepto  </w:t>
      </w:r>
    </w:p>
    <w:p>
      <w:pPr>
        <w:pStyle w:val="ListBullet"/>
        <w:keepLines w:val="1"/>
        <w:keepNext w:val="1"/>
        <w:widowControl w:val="1"/>
      </w:pPr>
      <w:r>
        <w:t xml:space="preserve">B: Valor antes de Agentic IA  </w:t>
      </w:r>
    </w:p>
    <w:p>
      <w:pPr>
        <w:pStyle w:val="ListBullet"/>
        <w:keepLines w:val="1"/>
        <w:keepNext w:val="1"/>
        <w:widowControl w:val="1"/>
      </w:pPr>
      <w:r>
        <w:t xml:space="preserve">C: Valor después de Agentic IA  </w:t>
      </w:r>
    </w:p>
    <w:p>
      <w:pPr>
        <w:pStyle w:val="ListBullet"/>
        <w:keepLines w:val="1"/>
        <w:keepNext w:val="1"/>
        <w:widowControl w:val="1"/>
      </w:pPr>
      <w:r>
        <w:t xml:space="preserve">D: Diferencia  </w:t>
      </w:r>
    </w:p>
    <w:p>
      <w:pPr>
        <w:pStyle w:val="ListBullet"/>
        <w:keepLines w:val="1"/>
        <w:widowControl w:val="1"/>
      </w:pPr>
      <w:r>
        <w:t xml:space="preserve">E: Valor monetario estimado  </w:t>
      </w:r>
    </w:p>
    <w:p>
      <w:r>
        <w:t>Filas de ejemplo:</w:t>
      </w:r>
    </w:p>
    <w:p>
      <w:pPr>
        <w:pStyle w:val="ListBullet"/>
        <w:keepLines w:val="1"/>
        <w:keepNext w:val="1"/>
        <w:widowControl w:val="1"/>
      </w:pPr>
      <w:r>
        <w:t xml:space="preserve">F1: MTTT medio (minutos).  </w:t>
      </w:r>
    </w:p>
    <w:p>
      <w:pPr>
        <w:pStyle w:val="ListBullet"/>
        <w:keepLines w:val="1"/>
        <w:keepNext w:val="1"/>
        <w:widowControl w:val="1"/>
      </w:pPr>
      <w:r>
        <w:t xml:space="preserve">F2: TTC medio para incidentes Agentic (minutos).  </w:t>
      </w:r>
    </w:p>
    <w:p>
      <w:pPr>
        <w:pStyle w:val="ListBullet"/>
        <w:keepLines w:val="1"/>
        <w:keepNext w:val="1"/>
        <w:widowControl w:val="1"/>
      </w:pPr>
      <w:r>
        <w:t xml:space="preserve">F3: Nº anual de incidentes de seguridad.  </w:t>
      </w:r>
    </w:p>
    <w:p>
      <w:pPr>
        <w:pStyle w:val="ListBullet"/>
        <w:keepLines w:val="1"/>
        <w:keepNext w:val="1"/>
        <w:widowControl w:val="1"/>
      </w:pPr>
      <w:r>
        <w:t xml:space="preserve">F4: Nº anual de incidentes evitados (estimados).  </w:t>
      </w:r>
    </w:p>
    <w:p>
      <w:pPr>
        <w:pStyle w:val="ListBullet"/>
        <w:keepLines w:val="1"/>
        <w:keepNext w:val="1"/>
        <w:widowControl w:val="1"/>
      </w:pPr>
      <w:r>
        <w:t xml:space="preserve">F5: Coste medio de incidente (€).  </w:t>
      </w:r>
    </w:p>
    <w:p>
      <w:pPr>
        <w:pStyle w:val="ListBullet"/>
        <w:keepLines w:val="1"/>
        <w:keepNext w:val="1"/>
        <w:widowControl w:val="1"/>
      </w:pPr>
      <w:r>
        <w:t xml:space="preserve">F6: Horas mensuales ahorradas en triage de alertas.  </w:t>
      </w:r>
    </w:p>
    <w:p>
      <w:pPr>
        <w:pStyle w:val="ListBullet"/>
        <w:keepLines w:val="1"/>
        <w:widowControl w:val="1"/>
      </w:pPr>
      <w:r>
        <w:t xml:space="preserve">F7: Coste/hora del analista (€).  </w:t>
      </w:r>
    </w:p>
    <w:p>
      <w:pPr>
        <w:pStyle w:val="Heading3"/>
        <w:keepNext/>
        <w:keepLines/>
      </w:pPr>
      <w:r>
        <w:t>4.2. Fórmulas de ejemplo</w:t>
      </w:r>
    </w:p>
    <w:p>
      <w:pPr>
        <w:pStyle w:val="ListBullet"/>
        <w:keepLines w:val="1"/>
        <w:keepNext w:val="1"/>
        <w:widowControl w:val="1"/>
      </w:pPr>
      <w:r>
        <w:t xml:space="preserve">Diferencia:  </w:t>
      </w:r>
    </w:p>
    <w:p>
      <w:pPr>
        <w:pStyle w:val="ListBullet"/>
        <w:keepLines w:val="1"/>
        <w:keepNext w:val="1"/>
        <w:widowControl w:val="1"/>
      </w:pPr>
      <w:r>
        <w:t xml:space="preserve">D2 = B2 - C2 (reducción de MTTT).  </w:t>
      </w:r>
    </w:p>
    <w:p>
      <w:pPr>
        <w:pStyle w:val="ListBullet"/>
        <w:keepLines w:val="1"/>
        <w:keepNext w:val="1"/>
        <w:widowControl w:val="1"/>
      </w:pPr>
      <w:r>
        <w:t xml:space="preserve">Ahorro anual por reducción de incidentes:  </w:t>
      </w:r>
    </w:p>
    <w:p>
      <w:pPr>
        <w:pStyle w:val="ListBullet"/>
        <w:keepLines w:val="1"/>
        <w:keepNext w:val="1"/>
        <w:widowControl w:val="1"/>
      </w:pPr>
      <w:r>
        <w:t xml:space="preserve">E4 = D4 * F5 (incidentes evitados × coste medio).  </w:t>
      </w:r>
    </w:p>
    <w:p>
      <w:pPr>
        <w:pStyle w:val="ListBullet"/>
        <w:keepLines w:val="1"/>
        <w:keepNext w:val="1"/>
        <w:widowControl w:val="1"/>
      </w:pPr>
      <w:r>
        <w:t xml:space="preserve">Ahorro anual por automatización de triage:  </w:t>
      </w:r>
    </w:p>
    <w:p>
      <w:pPr>
        <w:pStyle w:val="ListBullet"/>
        <w:keepLines w:val="1"/>
        <w:keepNext w:val="1"/>
        <w:widowControl w:val="1"/>
      </w:pPr>
      <w:r>
        <w:br/>
        <w:t xml:space="preserve">E6 = D6 * F7 * 12 (horas ahorradas × coste/hora × 12 meses).  </w:t>
        <w:br/>
      </w:r>
    </w:p>
    <w:p>
      <w:pPr>
        <w:pStyle w:val="ListBullet"/>
        <w:keepLines w:val="1"/>
        <w:keepNext w:val="1"/>
        <w:widowControl w:val="1"/>
      </w:pPr>
      <w:r>
        <w:br/>
        <w:t xml:space="preserve">ROI anual aproximado (en €):  </w:t>
        <w:br/>
      </w:r>
    </w:p>
    <w:p>
      <w:pPr>
        <w:pStyle w:val="ListBullet"/>
        <w:keepLines w:val="1"/>
        <w:keepNext w:val="1"/>
        <w:widowControl w:val="1"/>
      </w:pPr>
      <w:r>
        <w:t xml:space="preserve">Si en E10 se suman todos los ahorros (=SUMA(E4:E9)), y en E11 se recogen los costes anuales de plataformas y proyectos de Agentic IA:  </w:t>
      </w:r>
    </w:p>
    <w:p>
      <w:pPr>
        <w:pStyle w:val="ListBullet"/>
        <w:keepLines w:val="1"/>
        <w:widowControl w:val="1"/>
      </w:pPr>
      <w:r>
        <w:t xml:space="preserve">ROI = E10 - E11 </w:t>
      </w:r>
    </w:p>
    <w:p>
      <w:r>
        <w:rPr>
          <w:rFonts w:ascii="Courier New" w:hAnsi="Courier New"/>
          <w:sz w:val="18"/>
        </w:rPr>
        <w:t>E6 = D6 * F7 * 12</w:t>
      </w:r>
      <w:r>
        <w:t xml:space="preserve"> (horas ahorradas × coste/hora × 12 meses).  </w:t>
      </w:r>
    </w:p>
    <w:p>
      <w:r>
        <w:t xml:space="preserve">ROI anual aproximado (en €):  </w:t>
      </w:r>
    </w:p>
    <w:p>
      <w:r>
        <w:t>Opcional: crear una celda de ROI (%):</w:t>
      </w:r>
      <w:r/>
      <w:r>
        <w:br/>
        <w:t xml:space="preserve">- </w:t>
      </w:r>
      <w:r>
        <w:rPr>
          <w:rFonts w:ascii="Courier New" w:hAnsi="Courier New"/>
          <w:sz w:val="18"/>
        </w:rPr>
        <w:t>=SI(E11&gt;0; (E10 - E11) / E11; "")</w:t>
      </w:r>
    </w:p>
    <w:p>
      <w:pPr>
        <w:pStyle w:val="Heading2"/>
        <w:keepNext/>
        <w:keepLines/>
      </w:pPr>
      <w:r>
        <w:rPr>
          <w:color w:val="0066CC"/>
        </w:rPr>
        <w:t>5. Hoja “Dashboard”</w:t>
      </w:r>
    </w:p>
    <w:p>
      <w:r>
        <w:t>Incluir gráficos de:</w:t>
      </w:r>
    </w:p>
    <w:p>
      <w:pPr>
        <w:pStyle w:val="ListBullet"/>
        <w:keepLines w:val="1"/>
        <w:keepNext w:val="1"/>
        <w:widowControl w:val="1"/>
      </w:pPr>
      <w:r>
        <w:t xml:space="preserve">IGM global y por dimensión (barras).  </w:t>
      </w:r>
    </w:p>
    <w:p>
      <w:pPr>
        <w:pStyle w:val="ListBullet"/>
        <w:keepLines w:val="1"/>
        <w:keepNext w:val="1"/>
        <w:widowControl w:val="1"/>
      </w:pPr>
      <w:r>
        <w:t xml:space="preserve">Evolución temporal (si se repite la encuesta).  </w:t>
      </w:r>
    </w:p>
    <w:p>
      <w:pPr>
        <w:pStyle w:val="ListBullet"/>
        <w:keepLines w:val="1"/>
        <w:widowControl w:val="1"/>
      </w:pPr>
      <w:r>
        <w:t xml:space="preserve">ROI anual en € y %.  </w:t>
      </w:r>
    </w:p>
    <w:p>
      <w:r>
        <w:t>La plantilla puede replicarse para varias organizaciones, permitiendo comparativas sectoriales.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