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Reporte Ejecutivo (para PowerPoint)</w:t>
      </w:r>
    </w:p>
    <w:p>
      <w:pPr>
        <w:pStyle w:val="Heading2"/>
        <w:keepNext/>
        <w:keepLines/>
      </w:pPr>
      <w:r>
        <w:rPr>
          <w:color w:val="0066CC"/>
        </w:rPr>
        <w:t>Diapositiva 1 – Portada</w:t>
      </w:r>
    </w:p>
    <w:p>
      <w:pPr>
        <w:pStyle w:val="ListBullet"/>
        <w:keepLines w:val="1"/>
        <w:keepNext w:val="1"/>
        <w:widowControl w:val="1"/>
      </w:pPr>
      <w:r>
        <w:t xml:space="preserve">Título: Estado de la organización frente a la Agentic IA y riesgos de ciberseguridad.  </w:t>
      </w:r>
    </w:p>
    <w:p>
      <w:pPr>
        <w:pStyle w:val="ListBullet"/>
        <w:keepLines w:val="1"/>
        <w:keepNext w:val="1"/>
        <w:widowControl w:val="1"/>
      </w:pPr>
      <w:r>
        <w:t xml:space="preserve">Subtítulo: Resultados de la encuesta de madurez y riesgo.  </w:t>
      </w:r>
    </w:p>
    <w:p>
      <w:pPr>
        <w:pStyle w:val="ListBullet"/>
        <w:keepLines w:val="1"/>
        <w:widowControl w:val="1"/>
      </w:pPr>
      <w:r>
        <w:t xml:space="preserve">Datos: Nombre de la organización, fecha, equipo responsable.  </w:t>
      </w:r>
    </w:p>
    <w:p>
      <w:pPr>
        <w:pStyle w:val="Heading2"/>
        <w:keepNext/>
        <w:keepLines/>
      </w:pPr>
      <w:r>
        <w:rPr>
          <w:color w:val="0066CC"/>
        </w:rPr>
        <w:t>Diapositiva 2 – Contexto</w:t>
      </w:r>
    </w:p>
    <w:p>
      <w:pPr>
        <w:pStyle w:val="ListBullet"/>
        <w:keepLines w:val="1"/>
        <w:keepNext w:val="1"/>
        <w:widowControl w:val="1"/>
      </w:pPr>
      <w:r>
        <w:t xml:space="preserve">Por qué esta encuesta (breve explicación).  </w:t>
      </w:r>
    </w:p>
    <w:p>
      <w:pPr>
        <w:pStyle w:val="ListBullet"/>
        <w:keepLines w:val="1"/>
        <w:widowControl w:val="1"/>
      </w:pPr>
      <w:r>
        <w:t xml:space="preserve">Referencias clave: AEPD, CLTC Berkeley, ENISA.  </w:t>
      </w:r>
    </w:p>
    <w:p>
      <w:pPr>
        <w:pStyle w:val="Heading2"/>
        <w:keepNext/>
        <w:keepLines/>
      </w:pPr>
      <w:r>
        <w:rPr>
          <w:color w:val="0066CC"/>
        </w:rPr>
        <w:t>Diapositiva 3 – Metodología</w:t>
      </w:r>
    </w:p>
    <w:p>
      <w:pPr>
        <w:pStyle w:val="ListBullet"/>
        <w:keepLines w:val="1"/>
        <w:keepNext w:val="1"/>
        <w:widowControl w:val="1"/>
      </w:pPr>
      <w:r>
        <w:t xml:space="preserve">Nº de participantes y roles.  </w:t>
      </w:r>
    </w:p>
    <w:p>
      <w:pPr>
        <w:pStyle w:val="ListBullet"/>
        <w:keepLines w:val="1"/>
        <w:keepNext w:val="1"/>
        <w:widowControl w:val="1"/>
      </w:pPr>
      <w:r>
        <w:t xml:space="preserve">Escala de madurez (0–4).  </w:t>
      </w:r>
    </w:p>
    <w:p>
      <w:pPr>
        <w:pStyle w:val="ListBullet"/>
        <w:keepLines w:val="1"/>
        <w:widowControl w:val="1"/>
      </w:pPr>
      <w:r>
        <w:t xml:space="preserve">Dimensiones evaluadas.  </w:t>
      </w:r>
    </w:p>
    <w:p>
      <w:pPr>
        <w:pStyle w:val="Heading2"/>
        <w:keepNext/>
        <w:keepLines/>
      </w:pPr>
      <w:r>
        <w:rPr>
          <w:color w:val="0066CC"/>
        </w:rPr>
        <w:t>Diapositiva 4 – IGM global</w:t>
      </w:r>
    </w:p>
    <w:p>
      <w:pPr>
        <w:pStyle w:val="ListBullet"/>
        <w:keepLines w:val="1"/>
        <w:keepNext w:val="1"/>
        <w:widowControl w:val="1"/>
      </w:pPr>
      <w:r>
        <w:t xml:space="preserve">Gráfico de velocímetro o barra con el IGM global.  </w:t>
      </w:r>
    </w:p>
    <w:p>
      <w:pPr>
        <w:pStyle w:val="ListBullet"/>
        <w:keepLines w:val="1"/>
        <w:widowControl w:val="1"/>
      </w:pPr>
      <w:r>
        <w:t xml:space="preserve">Banda de interpretación (incipiente, intermedio, avanzado, líder).  </w:t>
      </w:r>
    </w:p>
    <w:p>
      <w:pPr>
        <w:pStyle w:val="Heading2"/>
        <w:keepNext/>
        <w:keepLines/>
      </w:pPr>
      <w:r>
        <w:rPr>
          <w:color w:val="0066CC"/>
        </w:rPr>
        <w:t>Diapositiva 5 – IGM por dimensión</w:t>
      </w:r>
    </w:p>
    <w:p>
      <w:pPr>
        <w:pStyle w:val="ListBullet"/>
        <w:keepLines w:val="1"/>
        <w:keepNext w:val="1"/>
        <w:widowControl w:val="1"/>
      </w:pPr>
      <w:r>
        <w:t xml:space="preserve">Gráfico de barras: cada dimensión con su puntuación (0–4).  </w:t>
      </w:r>
    </w:p>
    <w:p>
      <w:pPr>
        <w:pStyle w:val="ListBullet"/>
        <w:keepLines w:val="1"/>
        <w:widowControl w:val="1"/>
      </w:pPr>
      <w:r>
        <w:t xml:space="preserve">Breve comentario sobre las 2 áreas más fuertes y las 2 más débiles.  </w:t>
      </w:r>
    </w:p>
    <w:p>
      <w:pPr>
        <w:pStyle w:val="Heading2"/>
        <w:keepNext/>
        <w:keepLines/>
      </w:pPr>
      <w:r>
        <w:rPr>
          <w:color w:val="0066CC"/>
        </w:rPr>
        <w:t>Diapositiva 6 – Uso de Agentic IA</w:t>
      </w:r>
    </w:p>
    <w:p>
      <w:pPr>
        <w:pStyle w:val="ListBullet"/>
        <w:keepLines w:val="1"/>
        <w:keepNext w:val="1"/>
        <w:widowControl w:val="1"/>
      </w:pPr>
      <w:r>
        <w:t xml:space="preserve">Gráfico o esquema de los principales casos de uso.  </w:t>
      </w:r>
    </w:p>
    <w:p>
      <w:pPr>
        <w:pStyle w:val="ListBullet"/>
        <w:keepLines w:val="1"/>
        <w:widowControl w:val="1"/>
      </w:pPr>
      <w:r>
        <w:t xml:space="preserve">Nivel de autonomía concedida a los agentes.  </w:t>
      </w:r>
    </w:p>
    <w:p>
      <w:pPr>
        <w:pStyle w:val="Heading2"/>
        <w:keepNext/>
        <w:keepLines/>
      </w:pPr>
      <w:r>
        <w:rPr>
          <w:color w:val="0066CC"/>
        </w:rPr>
        <w:t>Diapositiva 7 – Gobernanza y cumplimiento</w:t>
      </w:r>
    </w:p>
    <w:p>
      <w:pPr>
        <w:pStyle w:val="ListBullet"/>
        <w:keepLines w:val="1"/>
        <w:keepNext w:val="1"/>
        <w:widowControl w:val="1"/>
      </w:pPr>
      <w:r>
        <w:t xml:space="preserve">Situación de gobernanza (marcos adoptados, rol del DPO, EIPD).  </w:t>
      </w:r>
    </w:p>
    <w:p>
      <w:pPr>
        <w:pStyle w:val="ListBullet"/>
        <w:keepLines w:val="1"/>
        <w:widowControl w:val="1"/>
      </w:pPr>
      <w:r>
        <w:t xml:space="preserve">Cumplimiento con la guía de la AEPD y RGPD.  </w:t>
      </w:r>
    </w:p>
    <w:p>
      <w:pPr>
        <w:pStyle w:val="Heading2"/>
        <w:keepNext/>
        <w:keepLines/>
      </w:pPr>
      <w:r>
        <w:rPr>
          <w:color w:val="0066CC"/>
        </w:rPr>
        <w:t>Diapositiva 8 – Métricas Agentic (UAR, PAR, PED…)</w:t>
      </w:r>
    </w:p>
    <w:p>
      <w:pPr>
        <w:pStyle w:val="ListBullet"/>
        <w:keepLines w:val="1"/>
        <w:keepNext w:val="1"/>
        <w:widowControl w:val="1"/>
      </w:pPr>
      <w:r>
        <w:t xml:space="preserve">Resumen de si se miden UAR, PAR, PED, RRS, CES.  </w:t>
      </w:r>
    </w:p>
    <w:p>
      <w:pPr>
        <w:pStyle w:val="ListBullet"/>
        <w:keepLines w:val="1"/>
        <w:widowControl w:val="1"/>
      </w:pPr>
      <w:r>
        <w:t xml:space="preserve">Identificación de puntos ciegos: métricas críticas no implementadas.  </w:t>
      </w:r>
    </w:p>
    <w:p>
      <w:pPr>
        <w:pStyle w:val="Heading2"/>
        <w:keepNext/>
        <w:keepLines/>
      </w:pPr>
      <w:r>
        <w:rPr>
          <w:color w:val="0066CC"/>
        </w:rPr>
        <w:t>Diapositiva 9 – SOC y respuesta a incidentes</w:t>
      </w:r>
    </w:p>
    <w:p>
      <w:pPr>
        <w:pStyle w:val="ListBullet"/>
        <w:keepLines w:val="1"/>
        <w:keepNext w:val="1"/>
        <w:widowControl w:val="1"/>
      </w:pPr>
      <w:r>
        <w:t xml:space="preserve">Nivel de automatización en triage y respuesta (MTTT, TTC, falsos positivos).  </w:t>
      </w:r>
    </w:p>
    <w:p>
      <w:pPr>
        <w:pStyle w:val="ListBullet"/>
        <w:keepLines w:val="1"/>
        <w:widowControl w:val="1"/>
      </w:pPr>
      <w:r>
        <w:t xml:space="preserve">Capacidad para distinguir y gestionar incidentes impulsados por Agentic IA.  </w:t>
      </w:r>
    </w:p>
    <w:p>
      <w:pPr>
        <w:pStyle w:val="Heading2"/>
        <w:keepNext/>
        <w:keepLines/>
      </w:pPr>
      <w:r>
        <w:rPr>
          <w:color w:val="0066CC"/>
        </w:rPr>
        <w:t>Diapositiva 10 – Riesgos clave</w:t>
      </w:r>
    </w:p>
    <w:p>
      <w:pPr>
        <w:pStyle w:val="ListBullet"/>
        <w:keepLines w:val="1"/>
        <w:keepNext w:val="1"/>
        <w:widowControl w:val="1"/>
      </w:pPr>
      <w:r>
        <w:t xml:space="preserve">Lista de 3–5 riesgos prioritarios detectados.  </w:t>
      </w:r>
    </w:p>
    <w:p>
      <w:pPr>
        <w:pStyle w:val="ListBullet"/>
        <w:keepLines w:val="1"/>
        <w:widowControl w:val="1"/>
      </w:pPr>
      <w:r>
        <w:t xml:space="preserve">Breve descripción de su impacto potencial.  </w:t>
      </w:r>
    </w:p>
    <w:p>
      <w:pPr>
        <w:pStyle w:val="Heading2"/>
        <w:keepNext/>
        <w:keepLines/>
      </w:pPr>
      <w:r>
        <w:rPr>
          <w:color w:val="0066CC"/>
        </w:rPr>
        <w:t>Diapositiva 11 – Oportunidades y ROI</w:t>
      </w:r>
    </w:p>
    <w:p>
      <w:pPr>
        <w:pStyle w:val="ListBullet"/>
        <w:keepLines w:val="1"/>
        <w:keepNext w:val="1"/>
        <w:widowControl w:val="1"/>
      </w:pPr>
      <w:r>
        <w:t xml:space="preserve">Beneficios observados o estimados de la Agentic IA.  </w:t>
      </w:r>
    </w:p>
    <w:p>
      <w:pPr>
        <w:pStyle w:val="ListBullet"/>
        <w:keepLines w:val="1"/>
        <w:widowControl w:val="1"/>
      </w:pPr>
      <w:r>
        <w:t xml:space="preserve">Resumen de la estimación de ROI (si aplica).  </w:t>
      </w:r>
    </w:p>
    <w:p>
      <w:pPr>
        <w:pStyle w:val="Heading2"/>
        <w:keepNext/>
        <w:keepLines/>
      </w:pPr>
      <w:r>
        <w:rPr>
          <w:color w:val="0066CC"/>
        </w:rPr>
        <w:t>Diapositiva 12 – Plan de acción recomendado</w:t>
      </w:r>
    </w:p>
    <w:p>
      <w:pPr>
        <w:pStyle w:val="ListBullet"/>
        <w:keepLines w:val="1"/>
        <w:widowControl w:val="1"/>
      </w:pPr>
      <w:r>
        <w:t xml:space="preserve">5–7 acciones priorizadas (por ejemplo, establecer métricas UAR/PAR, aplicar la Regla de 2, reforzar memoria y minimización, actualizar contratos).  </w:t>
      </w:r>
    </w:p>
    <w:p>
      <w:pPr>
        <w:pStyle w:val="Heading2"/>
        <w:keepNext/>
        <w:keepLines/>
      </w:pPr>
      <w:r>
        <w:rPr>
          <w:color w:val="0066CC"/>
        </w:rPr>
        <w:t>Diapositiva 13 – Próximos pasos</w:t>
      </w:r>
    </w:p>
    <w:p>
      <w:pPr>
        <w:pStyle w:val="ListBullet"/>
        <w:keepLines w:val="1"/>
        <w:keepNext w:val="1"/>
        <w:widowControl w:val="1"/>
      </w:pPr>
      <w:r>
        <w:t xml:space="preserve">Repetición de la encuesta (periodicidad).  </w:t>
      </w:r>
    </w:p>
    <w:p>
      <w:pPr>
        <w:pStyle w:val="ListBullet"/>
        <w:keepLines w:val="1"/>
        <w:widowControl w:val="1"/>
      </w:pPr>
      <w:r>
        <w:t xml:space="preserve">Integración con auditorías técnicas y pruebas de penetración de agentes.  </w:t>
      </w:r>
    </w:p>
    <w:p>
      <w:pPr>
        <w:pStyle w:val="Heading2"/>
        <w:keepNext/>
        <w:keepLines/>
      </w:pPr>
      <w:r>
        <w:rPr>
          <w:color w:val="0066CC"/>
        </w:rPr>
        <w:t>Diapositiva 14 – Cierre</w:t>
      </w:r>
    </w:p>
    <w:p>
      <w:pPr>
        <w:pStyle w:val="ListBullet"/>
        <w:keepLines w:val="1"/>
        <w:keepNext w:val="1"/>
        <w:widowControl w:val="1"/>
      </w:pPr>
      <w:r>
        <w:t xml:space="preserve">Mensaje final sugerido:  </w:t>
      </w:r>
    </w:p>
    <w:p>
      <w:pPr>
        <w:pStyle w:val="ListBullet"/>
        <w:keepLines w:val="1"/>
        <w:widowControl w:val="1"/>
      </w:pPr>
      <w:r>
        <w:t xml:space="preserve">La Agentic IA no es un visitante pasajero. Ha venido para quedarse; conviene, pues, darle un contrato claro, un supervisor atento y métricas impiadosamente honestas.  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