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de Agentic IA</w:t>
      </w:r>
    </w:p>
    <w:p>
      <w:r>
        <w:t>Escala sugerida por criterio PRAGMATIC: 1 (muy bajo) a 5 (muy alto).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Predictiva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Genuina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Significativa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Precisa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Oportuna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sintético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Unsafe Action Rate (UAR)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Excelente para anticipar incidentes por comportamiento inseguro; requiere inversión en bancos de pruebas y logging estructurado.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Policy Adherence Rate (PAR)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 el grado de alineamiento de los agentes con las políticas; muy útil en auditorías y revisiones regulatorias.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Privilege‑Escalation Distance (PED)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Clave para riesgo de escalado de privilegios, aunque su precisión depende de un buen modelado de niveles de acceso.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Out‑of‑Role Action Rate (OORAR)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Útil para detectar “derivas” funcionales de agentes; exige definición clara de límites de rol.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Retrieval Risk Score (RRS)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Evalúa el riesgo asociado a las fuentes de datos usadas por el agente; sensible a sesgos en la clasificación de fuentes.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Cost‑Exploit Susceptibility (CES)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Conecta vulnerabilidades con impacto económico; depende de estimaciones de coste de incidente.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Time‑to‑Contain (TTC)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Métrica clásica adaptada a incidentes Agentic; muy comprensible para dirección y aseguradoras.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Alert Triage Automation Rate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Refleja el grado de automatización; relevante para dimensionar equipos humanos y justificar inversiones en SOC Agentic.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Mean Time to Triage (MTTT)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Indicador de eficiencia operativa del SOC; mejora con la Agentic IA, fácil de comunicar.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False Positive Reduction Rate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Reduce carga de trabajo y fatiga de alertas; depende de una buena línea base y etiquetado histórico.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