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GQM + PRAGMATIC aplicado a Agentic IA</w:t>
      </w:r>
    </w:p>
    <w:p>
      <w:pPr>
        <w:pStyle w:val="Heading2"/>
        <w:keepNext/>
        <w:keepLines/>
      </w:pPr>
      <w:r>
        <w:rPr>
          <w:color w:val="0066CC"/>
        </w:rPr>
        <w:t>1. Hoja “GQM-Metricas”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Métrica (UAR, PAR, PED, etc.).  </w:t>
      </w:r>
    </w:p>
    <w:p>
      <w:pPr>
        <w:pStyle w:val="ListBullet"/>
        <w:keepLines w:val="1"/>
        <w:keepNext w:val="1"/>
        <w:widowControl w:val="1"/>
      </w:pPr>
      <w:r>
        <w:t xml:space="preserve">B: Objetivo GQM (resumen).  </w:t>
      </w:r>
    </w:p>
    <w:p>
      <w:pPr>
        <w:pStyle w:val="ListBullet"/>
        <w:keepLines w:val="1"/>
        <w:keepNext w:val="1"/>
        <w:widowControl w:val="1"/>
      </w:pPr>
      <w:r>
        <w:t xml:space="preserve">C: Preguntas clave (lista breve).  </w:t>
      </w:r>
    </w:p>
    <w:p>
      <w:pPr>
        <w:pStyle w:val="ListBullet"/>
        <w:keepLines w:val="1"/>
        <w:keepNext w:val="1"/>
        <w:widowControl w:val="1"/>
      </w:pPr>
      <w:r>
        <w:t xml:space="preserve">D: Definición de la métrica (fórmula).  </w:t>
      </w:r>
    </w:p>
    <w:p>
      <w:pPr>
        <w:pStyle w:val="ListBullet"/>
        <w:keepLines w:val="1"/>
        <w:keepNext w:val="1"/>
        <w:widowControl w:val="1"/>
      </w:pPr>
      <w:r>
        <w:t xml:space="preserve">E: Unidad.  </w:t>
      </w:r>
    </w:p>
    <w:p>
      <w:pPr>
        <w:pStyle w:val="ListBullet"/>
        <w:keepLines w:val="1"/>
        <w:keepNext w:val="1"/>
        <w:widowControl w:val="1"/>
      </w:pPr>
      <w:r>
        <w:t xml:space="preserve">F: Fuente de datos.  </w:t>
      </w:r>
    </w:p>
    <w:p>
      <w:pPr>
        <w:pStyle w:val="ListBullet"/>
        <w:keepLines w:val="1"/>
        <w:keepNext w:val="1"/>
        <w:widowControl w:val="1"/>
      </w:pPr>
      <w:r>
        <w:t xml:space="preserve">G: Frecuencia de cálculo.  </w:t>
      </w:r>
    </w:p>
    <w:p>
      <w:pPr>
        <w:pStyle w:val="ListBullet"/>
        <w:keepLines w:val="1"/>
        <w:widowControl w:val="1"/>
      </w:pPr>
      <w:r>
        <w:t xml:space="preserve">H: Responsable.  </w:t>
      </w:r>
    </w:p>
    <w:p>
      <w:pPr>
        <w:pStyle w:val="Heading2"/>
        <w:keepNext/>
        <w:keepLines/>
      </w:pPr>
      <w:r>
        <w:rPr>
          <w:color w:val="0066CC"/>
        </w:rPr>
        <w:t>2. Hoja “PRAGMATIC-Score”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Métrica.  </w:t>
      </w:r>
    </w:p>
    <w:p>
      <w:pPr>
        <w:pStyle w:val="ListBullet"/>
        <w:keepLines w:val="1"/>
        <w:keepNext w:val="1"/>
        <w:widowControl w:val="1"/>
      </w:pPr>
      <w:r>
        <w:t xml:space="preserve">B: P Predictiva (1–5).  </w:t>
      </w:r>
    </w:p>
    <w:p>
      <w:pPr>
        <w:pStyle w:val="ListBullet"/>
        <w:keepLines w:val="1"/>
        <w:keepNext w:val="1"/>
        <w:widowControl w:val="1"/>
      </w:pPr>
      <w:r>
        <w:t xml:space="preserve">C: R Relevante (1–5).  </w:t>
      </w:r>
    </w:p>
    <w:p>
      <w:pPr>
        <w:pStyle w:val="ListBullet"/>
        <w:keepLines w:val="1"/>
        <w:keepNext w:val="1"/>
        <w:widowControl w:val="1"/>
      </w:pPr>
      <w:r>
        <w:t xml:space="preserve">D: A Accionable (1–5).  </w:t>
      </w:r>
    </w:p>
    <w:p>
      <w:pPr>
        <w:pStyle w:val="ListBullet"/>
        <w:keepLines w:val="1"/>
        <w:keepNext w:val="1"/>
        <w:widowControl w:val="1"/>
      </w:pPr>
      <w:r>
        <w:t xml:space="preserve">E: G Genuina (1–5).  </w:t>
      </w:r>
    </w:p>
    <w:p>
      <w:pPr>
        <w:pStyle w:val="ListBullet"/>
        <w:keepLines w:val="1"/>
        <w:keepNext w:val="1"/>
        <w:widowControl w:val="1"/>
      </w:pPr>
      <w:r>
        <w:t xml:space="preserve">F: M Significativa (1–5).  </w:t>
      </w:r>
    </w:p>
    <w:p>
      <w:pPr>
        <w:pStyle w:val="ListBullet"/>
        <w:keepLines w:val="1"/>
        <w:keepNext w:val="1"/>
        <w:widowControl w:val="1"/>
      </w:pPr>
      <w:r>
        <w:t xml:space="preserve">G: P Precisa (1–5).  </w:t>
      </w:r>
    </w:p>
    <w:p>
      <w:pPr>
        <w:pStyle w:val="ListBullet"/>
        <w:keepLines w:val="1"/>
        <w:keepNext w:val="1"/>
        <w:widowControl w:val="1"/>
      </w:pPr>
      <w:r>
        <w:t xml:space="preserve">H: T Oportuna (1–5).  </w:t>
      </w:r>
    </w:p>
    <w:p>
      <w:pPr>
        <w:pStyle w:val="ListBullet"/>
        <w:keepLines w:val="1"/>
        <w:keepNext w:val="1"/>
        <w:widowControl w:val="1"/>
      </w:pPr>
      <w:r>
        <w:t xml:space="preserve">I: I Independiente (1–5).  </w:t>
      </w:r>
    </w:p>
    <w:p>
      <w:pPr>
        <w:pStyle w:val="ListBullet"/>
        <w:keepLines w:val="1"/>
        <w:keepNext w:val="1"/>
        <w:widowControl w:val="1"/>
      </w:pPr>
      <w:r>
        <w:t xml:space="preserve">J: C Rentable (1–5).  </w:t>
      </w:r>
    </w:p>
    <w:p>
      <w:pPr>
        <w:pStyle w:val="ListBullet"/>
        <w:keepLines w:val="1"/>
        <w:keepNext w:val="1"/>
        <w:widowControl w:val="1"/>
      </w:pPr>
      <w:r>
        <w:t xml:space="preserve">K: Score total.  </w:t>
      </w:r>
    </w:p>
    <w:p>
      <w:pPr>
        <w:pStyle w:val="ListBullet"/>
        <w:keepLines w:val="1"/>
        <w:widowControl w:val="1"/>
      </w:pPr>
      <w:r>
        <w:t>L: Comentario.</w:t>
      </w:r>
    </w:p>
    <w:p>
      <w:pPr>
        <w:pStyle w:val="Heading3"/>
        <w:keepNext/>
        <w:keepLines/>
      </w:pPr>
      <w:r>
        <w:t>2.1. Fórmula para Score PRAGMATIC</w:t>
      </w:r>
    </w:p>
    <w:p>
      <w:r>
        <w:t>Si las puntuaciones están en B2:J2, en K2 puede utilizarse:</w:t>
      </w:r>
    </w:p>
    <w:p>
      <w:pPr>
        <w:pStyle w:val="ListBullet"/>
        <w:keepLines w:val="1"/>
        <w:widowControl w:val="1"/>
      </w:pPr>
      <w:r>
        <w:t>=PROMEDIO(B2:J2)</w:t>
      </w:r>
    </w:p>
    <w:p>
      <w:r>
        <w:t>Para ponderaciones distintas por criterio, sustituir por una suma ponderada.</w:t>
      </w:r>
    </w:p>
    <w:p>
      <w:pPr>
        <w:pStyle w:val="Heading2"/>
        <w:keepNext/>
        <w:keepLines/>
      </w:pPr>
      <w:r>
        <w:rPr>
          <w:color w:val="0066CC"/>
        </w:rPr>
        <w:t>3. Hoja “IGM-Agentic”</w:t>
      </w:r>
    </w:p>
    <w:p>
      <w:r>
        <w:t xml:space="preserve">Objetivo: derivar un </w:t>
      </w:r>
      <w:r>
        <w:rPr>
          <w:b/>
        </w:rPr>
        <w:t>IGM especializado en métricas Agentic IA</w:t>
      </w:r>
      <w:r>
        <w:t>, opcionalmente integrado con el IGM global de ciberseguridad.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Métrica.  </w:t>
      </w:r>
    </w:p>
    <w:p>
      <w:pPr>
        <w:pStyle w:val="ListBullet"/>
        <w:keepLines w:val="1"/>
        <w:keepNext w:val="1"/>
        <w:widowControl w:val="1"/>
      </w:pPr>
      <w:r>
        <w:t xml:space="preserve">B: Peso en el IGM Agentic (0–1).  </w:t>
      </w:r>
    </w:p>
    <w:p>
      <w:pPr>
        <w:pStyle w:val="ListBullet"/>
        <w:keepLines w:val="1"/>
        <w:keepNext w:val="1"/>
        <w:widowControl w:val="1"/>
      </w:pPr>
      <w:r>
        <w:t xml:space="preserve">C: Nivel de implantación (0–4) – similar a madurez: inexistente, ad hoc, definido, gestionado, optimizado.  </w:t>
      </w:r>
    </w:p>
    <w:p>
      <w:pPr>
        <w:pStyle w:val="ListBullet"/>
        <w:keepLines w:val="1"/>
        <w:keepNext w:val="1"/>
        <w:widowControl w:val="1"/>
      </w:pPr>
      <w:r>
        <w:t xml:space="preserve">D: Score PRAGMATIC (referencia a “PRAGMATIC-Score”).  </w:t>
      </w:r>
    </w:p>
    <w:p>
      <w:pPr>
        <w:pStyle w:val="ListBullet"/>
        <w:keepLines w:val="1"/>
        <w:widowControl w:val="1"/>
      </w:pPr>
      <w:r>
        <w:t xml:space="preserve">E: Índice combinado métrica (por ejemplo, C * D).  </w:t>
      </w:r>
    </w:p>
    <w:p>
      <w:pPr>
        <w:pStyle w:val="Heading3"/>
        <w:keepNext/>
        <w:keepLines/>
      </w:pPr>
      <w:r>
        <w:t>3.1. Fórmulas de ejemplo</w:t>
      </w:r>
    </w:p>
    <w:p>
      <w:pPr>
        <w:pStyle w:val="ListBullet"/>
        <w:keepLines w:val="1"/>
        <w:keepNext w:val="1"/>
        <w:widowControl w:val="1"/>
      </w:pPr>
      <w:r>
        <w:t xml:space="preserve">Índice combinado por métrica (fila 2):  </w:t>
      </w:r>
    </w:p>
    <w:p>
      <w:pPr>
        <w:pStyle w:val="ListBullet"/>
        <w:keepLines w:val="1"/>
        <w:keepNext w:val="1"/>
        <w:widowControl w:val="1"/>
      </w:pPr>
      <w:r>
        <w:t xml:space="preserve">=C2 * D2 </w:t>
      </w:r>
    </w:p>
    <w:p>
      <w:pPr>
        <w:pStyle w:val="ListBullet"/>
        <w:keepLines w:val="1"/>
        <w:keepNext w:val="1"/>
        <w:widowControl w:val="1"/>
      </w:pPr>
      <w:r>
        <w:t xml:space="preserve">IGM Agentic global (en una celda, por ejemplo E20):  </w:t>
      </w:r>
    </w:p>
    <w:p>
      <w:pPr>
        <w:pStyle w:val="ListBullet"/>
        <w:keepLines w:val="1"/>
        <w:widowControl w:val="1"/>
      </w:pPr>
      <w:r>
        <w:t>=SUMAPRODUCTO(B2:B11;E2:E11) / SUMA(B2:B11)</w:t>
      </w:r>
    </w:p>
    <w:p>
      <w:pPr>
        <w:pStyle w:val="Heading2"/>
        <w:keepNext/>
        <w:keepLines/>
      </w:pPr>
      <w:r>
        <w:rPr>
          <w:color w:val="0066CC"/>
        </w:rPr>
        <w:t>4. Hoja “ROI-Agentic”</w:t>
      </w:r>
    </w:p>
    <w:p>
      <w:r>
        <w:t>Permite centrar el ROI en mejoras atribuibles a métricas Agentic (UAR, TTC, etc.).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Métrica / efecto (UAR, TTC, etc.).  </w:t>
      </w:r>
    </w:p>
    <w:p>
      <w:pPr>
        <w:pStyle w:val="ListBullet"/>
        <w:keepLines w:val="1"/>
        <w:keepNext w:val="1"/>
        <w:widowControl w:val="1"/>
      </w:pPr>
      <w:r>
        <w:t xml:space="preserve">B: Situación “antes” (valor medio).  </w:t>
      </w:r>
    </w:p>
    <w:p>
      <w:pPr>
        <w:pStyle w:val="ListBullet"/>
        <w:keepLines w:val="1"/>
        <w:keepNext w:val="1"/>
        <w:widowControl w:val="1"/>
      </w:pPr>
      <w:r>
        <w:t xml:space="preserve">C: Situación “después”.  </w:t>
      </w:r>
    </w:p>
    <w:p>
      <w:pPr>
        <w:pStyle w:val="ListBullet"/>
        <w:keepLines w:val="1"/>
        <w:keepNext w:val="1"/>
        <w:widowControl w:val="1"/>
      </w:pPr>
      <w:r>
        <w:t xml:space="preserve">D: Mejora (Δ).  </w:t>
      </w:r>
    </w:p>
    <w:p>
      <w:pPr>
        <w:pStyle w:val="ListBullet"/>
        <w:keepLines w:val="1"/>
        <w:widowControl w:val="1"/>
      </w:pPr>
      <w:r>
        <w:t xml:space="preserve">E: Traducción económica (€, si aplica).  </w:t>
      </w:r>
    </w:p>
    <w:p>
      <w:r>
        <w:t>Ejemplo:</w:t>
      </w:r>
    </w:p>
    <w:p>
      <w:pPr>
        <w:pStyle w:val="ListBullet"/>
        <w:keepLines w:val="1"/>
        <w:keepNext w:val="1"/>
        <w:widowControl w:val="1"/>
      </w:pPr>
      <w:r>
        <w:t xml:space="preserve">Reducción de UAR → disminución esperada de incidentes graves.  </w:t>
      </w:r>
    </w:p>
    <w:p>
      <w:pPr>
        <w:pStyle w:val="ListBullet"/>
        <w:keepLines w:val="1"/>
        <w:widowControl w:val="1"/>
      </w:pPr>
      <w:r>
        <w:t xml:space="preserve">Reducción de TTC → menos tiempo de indisponibilidad.  </w:t>
      </w:r>
    </w:p>
    <w:p>
      <w:r>
        <w:t>Cálculo simplificado de ROI anual:</w:t>
      </w:r>
    </w:p>
    <w:p>
      <w:pPr>
        <w:pStyle w:val="ListBullet"/>
        <w:keepLines w:val="1"/>
        <w:keepNext w:val="1"/>
        <w:widowControl w:val="1"/>
      </w:pPr>
      <w:r>
        <w:t xml:space="preserve">Celda E20 (suma de beneficios): =SUMA(E2:E10) </w:t>
      </w:r>
    </w:p>
    <w:p>
      <w:pPr>
        <w:pStyle w:val="ListBullet"/>
        <w:keepLines w:val="1"/>
        <w:keepNext w:val="1"/>
        <w:widowControl w:val="1"/>
      </w:pPr>
      <w:r>
        <w:t xml:space="preserve">Celda E21 (coste anual de iniciativas Agentic IA): valor introducido.  </w:t>
      </w:r>
    </w:p>
    <w:p>
      <w:pPr>
        <w:pStyle w:val="ListBullet"/>
        <w:keepLines w:val="1"/>
        <w:keepNext w:val="1"/>
        <w:widowControl w:val="1"/>
      </w:pPr>
      <w:r>
        <w:t xml:space="preserve">Celda E22 (ROI €): =E20 - E21 </w:t>
      </w:r>
    </w:p>
    <w:p>
      <w:pPr>
        <w:pStyle w:val="ListBullet"/>
        <w:keepLines w:val="1"/>
        <w:widowControl w:val="1"/>
      </w:pPr>
      <w:r>
        <w:t>Celda E23 (ROI %): =SI(E21&gt;0;(E20-E21)/E21;"")</w:t>
      </w:r>
    </w:p>
    <w:p>
      <w:pPr>
        <w:pStyle w:val="Heading2"/>
        <w:keepNext/>
        <w:keepLines/>
      </w:pPr>
      <w:r>
        <w:rPr>
          <w:color w:val="0066CC"/>
        </w:rPr>
        <w:t>5. Hoja “Dashboard-Agentic”</w:t>
      </w:r>
    </w:p>
    <w:p>
      <w:r>
        <w:t>Incluir:</w:t>
      </w:r>
    </w:p>
    <w:p>
      <w:pPr>
        <w:pStyle w:val="ListBullet"/>
        <w:keepLines w:val="1"/>
        <w:keepNext w:val="1"/>
        <w:widowControl w:val="1"/>
      </w:pPr>
      <w:r>
        <w:t xml:space="preserve">Gráfico de barras con Score PRAGMATIC por métrica.  </w:t>
      </w:r>
    </w:p>
    <w:p>
      <w:pPr>
        <w:pStyle w:val="ListBullet"/>
        <w:keepLines w:val="1"/>
        <w:keepNext w:val="1"/>
        <w:widowControl w:val="1"/>
      </w:pPr>
      <w:r>
        <w:t xml:space="preserve">IGM Agentic global.  </w:t>
      </w:r>
    </w:p>
    <w:p>
      <w:pPr>
        <w:pStyle w:val="ListBullet"/>
        <w:keepLines w:val="1"/>
        <w:widowControl w:val="1"/>
      </w:pPr>
      <w:r>
        <w:t>Evolución temporal de 2–3 métricas clave (por ejemplo, UAR, TTC, False Positive Reduction Rate).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