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indicadores FAIR‑STRIDE</w:t>
      </w:r>
    </w:p>
    <w:p>
      <w:r>
        <w:t>Nota: se propone una escala 0‑5 para cada criterio PRAGMATIC (0 = nulo, 5 = excelente). Las puntuaciones son orientativas y deben revisarse en cada contexto.</w:t>
      </w:r>
    </w:p>
    <w:p>
      <w:pPr>
        <w:pStyle w:val="Heading2"/>
        <w:keepNext/>
        <w:keepLines/>
      </w:pPr>
      <w:r>
        <w:rPr>
          <w:color w:val="0066CC"/>
        </w:rPr>
        <w:t>1. Autenticidad</w:t>
      </w:r>
    </w:p>
    <w:p>
      <w:pPr>
        <w:pStyle w:val="Heading3"/>
        <w:keepNext/>
        <w:keepLines/>
      </w:pPr>
      <w:r>
        <w:t>Indicador A1 – Nº de incidentes de suplantación de identidad en sistemas críticos (anual)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Describe el pasado; su tendencia ayuda a anticipar, pero no capta riesgo latente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ligado a fraudes y accesos no autorizados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Orienta refuerzo de controles y campañas de concienciación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incidentes reales; depende de calidad de detección y registro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en el indicador suelen ser interpretables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Posibles sub‑registros; mejora con taxonomía común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mensual/trimestral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infra‑reportarse si se asocia a penalizaciones internas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Se apoya en registros de incidentes ya existentes</w:t>
            </w:r>
          </w:p>
        </w:tc>
      </w:tr>
    </w:tbl>
    <w:p/>
    <w:p>
      <w:pPr>
        <w:pStyle w:val="Heading3"/>
        <w:keepNext/>
        <w:keepLines/>
      </w:pPr>
      <w:r>
        <w:t>Indicador A2 – Pérdida anual esperada por suplantación (FAIR, media y p90, en euros)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Modela riesgo futuro (distribuciones de pérdidas)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interpretable por negocio y reguladores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inversiones y seguros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calidad de supuestos y datos FAIR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son claros en impacto económico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Rango de incertidumbre; suficiente si se documenta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se actualiza diariamente; suele ser anual/semestral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dejar rastro (supuestos FAIR)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esfuerzo analítico, pero justificable para riesgos materiales</w:t>
            </w:r>
          </w:p>
        </w:tc>
      </w:tr>
    </w:tbl>
    <w:p/>
    <w:p>
      <w:pPr>
        <w:pStyle w:val="Heading3"/>
        <w:keepNext/>
        <w:keepLines/>
      </w:pPr>
      <w:r>
        <w:t>Indicador A3 – % de transacciones críticas protegidas por MFA/FIDO2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Mayor % suele correlacionar con menor exposición a suplantación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controles de autenticación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dónde priorizar despliegue de MFA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uso real si la instrumentación es correcta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se interpretan fácilmente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transaccionales detallados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casi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inflar el % si se reclasifican transacciones como “no críticas”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Aprovecha datos de sistemas IAM/APIs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Integridad</w:t>
      </w:r>
    </w:p>
    <w:p>
      <w:pPr>
        <w:pStyle w:val="Heading3"/>
        <w:keepNext/>
        <w:keepLines/>
      </w:pPr>
      <w:r>
        <w:t>Indicador I1 – Nº de incidentes de alteración de datos críticos detectados por año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Describe histórico, tendencia alerta sobre debilidades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 decisiones, resultados clínicos, registros financieros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Muestra dónde reforzar controles de integridad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capacidad de detección; los no detectados no aparecen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Picos o caídas son fáciles de interpretar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de “dato crítico” puede variar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casi inmediato, agregación periódica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infra‑reportarse si se percibe como fallo interno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Usa registros de incidentes y auditoría</w:t>
            </w:r>
          </w:p>
        </w:tc>
      </w:tr>
    </w:tbl>
    <w:p/>
    <w:p>
      <w:pPr>
        <w:pStyle w:val="Heading3"/>
        <w:keepNext/>
        <w:keepLines/>
      </w:pPr>
      <w:r>
        <w:t>Indicador I2 – Tiempo medio de detección (MTTD) y corrección (MTTR) de alteraciones de integridad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MTTD/MTTR altos anticipan mayor impacto en futuros incidentes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resiliencia de datos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Señala procesos y herramientas a optimizar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tiempos reales si la cronología se registra bien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Variaciones suelen ser significativas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rigor en marcas temporales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por incidente y por periodo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alterar registros técnicos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Se apoya en datos de tickets, SIEM, sistemas de cambio</w:t>
            </w:r>
          </w:p>
        </w:tc>
      </w:tr>
    </w:tbl>
    <w:p/>
    <w:p>
      <w:pPr>
        <w:pStyle w:val="Heading3"/>
        <w:keepNext/>
        <w:keepLines/>
      </w:pPr>
      <w:r>
        <w:t>Indicador I3 – Pérdida anual esperada por fallos de integridad (FAIR)</w:t>
      </w:r>
    </w:p>
    <w:p>
      <w:r>
        <w:rPr>
          <w:i/>
        </w:rPr>
        <w:t>(Tabla análoga a A2: muy alta en Predictivo/Relevante/Accionable/Significativo, media en Preciso/Oportuno/Rentable.)</w:t>
      </w:r>
    </w:p>
    <w:p>
      <w:pPr>
        <w:pStyle w:val="Heading2"/>
        <w:keepNext/>
        <w:keepLines/>
      </w:pPr>
      <w:r>
        <w:rPr>
          <w:color w:val="0066CC"/>
        </w:rPr>
        <w:t>3. No repudio</w:t>
      </w:r>
    </w:p>
    <w:p>
      <w:pPr>
        <w:pStyle w:val="Heading3"/>
        <w:keepNext/>
        <w:keepLines/>
      </w:pPr>
      <w:r>
        <w:t>Indicador NR1 – % de procesos críticos cubiertos por mecanismos fuertes de no repudio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alta reduce probabilidad de pérdidas futuras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Vinculado a litigios, fraudes, sanciones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qué procesos requieren refuerzo (firmas, registros, etc.)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un catálogo claro de procesos críticos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en el % son interpretables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Matiz en qué se considera “mecanismo fuerte”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menos frecuente (cuando cambian procesos)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Poca tentación de manipulación directa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Derivable de inventarios de procesos y controles</w:t>
            </w:r>
          </w:p>
        </w:tc>
      </w:tr>
    </w:tbl>
    <w:p/>
    <w:p>
      <w:pPr>
        <w:pStyle w:val="Heading3"/>
        <w:keepNext/>
        <w:keepLines/>
      </w:pPr>
      <w:r>
        <w:t>Indicador NR2 – Nº y coste de disputas/litigios asociados a falta de evidencia suficiente</w:t>
      </w:r>
    </w:p>
    <w:p>
      <w:r>
        <w:rPr>
          <w:i/>
        </w:rPr>
        <w:t>(Evaluado como: medio‑alto en Predictivo/Relevante/Accionable/Significativo; algo menor en Preciso/Oportuno, por baja frecuencia.)</w:t>
      </w:r>
    </w:p>
    <w:p>
      <w:pPr>
        <w:pStyle w:val="Heading2"/>
        <w:keepNext/>
        <w:keepLines/>
      </w:pPr>
      <w:r>
        <w:rPr>
          <w:color w:val="0066CC"/>
        </w:rPr>
        <w:t>4. Confidencialidad</w:t>
      </w:r>
    </w:p>
    <w:p>
      <w:pPr>
        <w:pStyle w:val="Heading3"/>
        <w:keepNext/>
        <w:keepLines/>
      </w:pPr>
      <w:r>
        <w:t>Indicador C1 – Nº de incidentes de brecha de datos personales/sensibles (clasificados por severidad)</w:t>
      </w:r>
    </w:p>
    <w:p>
      <w:pPr>
        <w:pStyle w:val="Heading3"/>
        <w:keepNext/>
        <w:keepLines/>
      </w:pPr>
      <w:r>
        <w:t>Indicador C2 – Pérdida anual esperada por brechas de confidencialidad (FAIR, incluyendo multas y reputación)</w:t>
      </w:r>
    </w:p>
    <w:p>
      <w:pPr>
        <w:pStyle w:val="Heading3"/>
        <w:keepNext/>
        <w:keepLines/>
      </w:pPr>
      <w:r>
        <w:t>Indicador C3 – % de datos altamente sensibles cifrados en reposo y en tránsito</w:t>
      </w:r>
    </w:p>
    <w:p>
      <w:r>
        <w:rPr>
          <w:i/>
        </w:rPr>
        <w:t>(Cada uno evaluado con la lógica ya mostrada: C2 sobresale en Predictivo/Relevante/Accionable; C3 es muy accionable y oportuno; C1 describe histórico y apoya regulación.)</w:t>
      </w:r>
    </w:p>
    <w:p>
      <w:pPr>
        <w:pStyle w:val="Heading2"/>
        <w:keepNext/>
        <w:keepLines/>
      </w:pPr>
      <w:r>
        <w:rPr>
          <w:color w:val="0066CC"/>
        </w:rPr>
        <w:t>5. Disponibilidad</w:t>
      </w:r>
    </w:p>
    <w:p>
      <w:pPr>
        <w:pStyle w:val="Heading3"/>
        <w:keepNext/>
        <w:keepLines/>
      </w:pPr>
      <w:r>
        <w:t>Indicador D1 – Horas de indisponibilidad de servicios críticos por causas cibernéticas (anual)</w:t>
      </w:r>
    </w:p>
    <w:p>
      <w:pPr>
        <w:pStyle w:val="Heading3"/>
        <w:keepNext/>
        <w:keepLines/>
      </w:pPr>
      <w:r>
        <w:t>Indicador D2 – Pérdida anual esperada por interrupciones (FAIR)</w:t>
      </w:r>
    </w:p>
    <w:p>
      <w:pPr>
        <w:pStyle w:val="Heading3"/>
        <w:keepNext/>
        <w:keepLines/>
      </w:pPr>
      <w:r>
        <w:t>Indicador D3 – Cumplimiento de RTO/RPO para sistemas esenciales (% de éxito en pruebas y en incidentes reales)</w:t>
      </w:r>
    </w:p>
    <w:p>
      <w:r>
        <w:rPr>
          <w:i/>
        </w:rPr>
        <w:t>(D2 sobresale en Predictivo/Relevante/Accionable; D1 y D3 son muy operativos y accionables.)</w:t>
      </w:r>
    </w:p>
    <w:p>
      <w:pPr>
        <w:pStyle w:val="Heading2"/>
        <w:keepNext/>
        <w:keepLines/>
      </w:pPr>
      <w:r>
        <w:rPr>
          <w:color w:val="0066CC"/>
        </w:rPr>
        <w:t>6. Autorización / privilegios</w:t>
      </w:r>
    </w:p>
    <w:p>
      <w:pPr>
        <w:pStyle w:val="Heading3"/>
        <w:keepNext/>
        <w:keepLines/>
      </w:pPr>
      <w:r>
        <w:t>Indicador AU1 – Nº de incidentes confirmados de abuso de privilegios (internos/externos)</w:t>
      </w:r>
    </w:p>
    <w:p>
      <w:pPr>
        <w:pStyle w:val="Heading3"/>
        <w:keepNext/>
        <w:keepLines/>
      </w:pPr>
      <w:r>
        <w:t>Indicador AU2 – Cobertura de cuentas privilegiadas por solución PAM (%)</w:t>
      </w:r>
    </w:p>
    <w:p>
      <w:pPr>
        <w:pStyle w:val="Heading3"/>
        <w:keepNext/>
        <w:keepLines/>
      </w:pPr>
      <w:r>
        <w:t>Indicador AU3 – Pérdida anual esperada por abusos de privilegios (FAIR)</w:t>
      </w:r>
    </w:p>
    <w:p>
      <w:r>
        <w:rPr>
          <w:i/>
        </w:rPr>
        <w:t>(AU2 muy accionable y oportuno; AU3 muy fuerte en dimensión económica; AU1 describe realidad de amenaza interna.)</w:t>
      </w:r>
    </w:p>
    <w:p>
      <w:pPr>
        <w:pStyle w:val="Heading2"/>
        <w:keepNext/>
        <w:keepLines/>
      </w:pPr>
      <w:r>
        <w:rPr>
          <w:color w:val="0066CC"/>
        </w:rPr>
        <w:t>7. Síntesis comparativa</w:t>
      </w:r>
    </w:p>
    <w:p>
      <w:r>
        <w:t>A nivel nacional, se recomienda:</w:t>
      </w:r>
    </w:p>
    <w:p>
      <w:pPr>
        <w:pStyle w:val="ListBullet"/>
        <w:keepLines w:val="1"/>
        <w:keepNext w:val="1"/>
        <w:widowControl w:val="1"/>
      </w:pPr>
      <w:r>
        <w:t>Priorizar métricas de pérdida anual esperada FAIR para cada dimensión (A2, I3, NR?, C2, D2, AU3) como indicadores macro de riesgo.</w:t>
      </w:r>
    </w:p>
    <w:p>
      <w:pPr>
        <w:pStyle w:val="ListBullet"/>
        <w:keepLines w:val="1"/>
        <w:keepNext w:val="1"/>
        <w:widowControl w:val="1"/>
      </w:pPr>
      <w:r>
        <w:t>Complementarlas con métricas operativas accionables (MFA, cifrado, PAM, RTO/RPO, cobertura de no repudio) para dirigir políticas y ayudas.</w:t>
      </w:r>
    </w:p>
    <w:p>
      <w:pPr>
        <w:pStyle w:val="ListBullet"/>
        <w:keepLines w:val="1"/>
        <w:widowControl w:val="1"/>
      </w:pPr>
      <w:r>
        <w:t>Usar la matriz PRAGMATIC para ir retirando métricas decorativas y consolidar un set manejable pero robusto.</w:t>
      </w:r>
    </w:p>
    <w:p>
      <w:r>
        <w:t>Cada país, sector u organización puede ajustar las puntuaciones PRAGMATIC, pero el esquema proporciona una base común para discutir la calidad de los indicadores, no sólo su existencia.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