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GQM + PRAGMATIC para FAIR‑STRIDE</w:t>
      </w:r>
    </w:p>
    <w:p>
      <w:pPr>
        <w:pStyle w:val="Heading2"/>
        <w:keepNext/>
        <w:keepLines/>
      </w:pPr>
      <w:r>
        <w:rPr>
          <w:color w:val="0066CC"/>
        </w:rPr>
        <w:t>1. De la épica de la ciberresiliencia al humilde Excel</w:t>
      </w:r>
    </w:p>
    <w:p>
      <w:r>
        <w:t>Los discursos sobre ciberresiliencia nacional suelen estar poblados de grandes palabras: soberanía digital, servicios esenciales, confianza ciudadana. Luego llega el momento incómodo de responder a una pregunta pedestre: “¿Cómo sabemos si vamos mejor o peor que el año pasado?”. La respuesta rara vez cabe en una metáfora; suele vivir en hojas de cálculo.</w:t>
      </w:r>
    </w:p>
    <w:p>
      <w:r>
        <w:t>El marco GQM + PRAGMATIC aplicado a FAIR‑STRIDE pretende hacer ese descenso a tierra con cierta dignidad. No se trata de inventar otro acrónimo, sino de construir puentes entre objetivos nobles (reducir pérdidas, proteger servicios críticos, cumplir la normativa sin perder la cordura) y datos técnicos que se puedan medir sin invocar musas.</w:t>
      </w:r>
    </w:p>
    <w:p>
      <w:pPr>
        <w:pStyle w:val="Heading2"/>
        <w:keepNext/>
        <w:keepLines/>
      </w:pPr>
      <w:r>
        <w:rPr>
          <w:color w:val="0066CC"/>
        </w:rPr>
        <w:t>2. GQM: poner orden en la cadena mando‑métrica</w:t>
      </w:r>
    </w:p>
    <w:p>
      <w:r>
        <w:t>El primer problema de muchos programas de indicadores es que empiezan por el final: se recopilan datos porque están ahí, y luego se intenta justificar qué demonios significan. GQM propone invertir el orden: primero, el objetivo; después, las preguntas que permiten saber si lo estamos logrando; al final, las métricas mínimas necesarias.</w:t>
      </w:r>
    </w:p>
    <w:p>
      <w:r>
        <w:t>En el contexto FAIR‑STRIDE esto significa, por ejemplo, que no medimos “número de logs procesados por el SIEM” porque suena importante, sino porque responde a una pregunta concreta: “¿somos capaces de detectar suplantaciones de identidad antes de que se conviertan en pérdidas materiales?”. Si la respuesta es no, quizá lo que sobren no sean indicadores, sino excusas.</w:t>
      </w:r>
    </w:p>
    <w:p>
      <w:pPr>
        <w:pStyle w:val="Heading2"/>
        <w:keepNext/>
        <w:keepLines/>
      </w:pPr>
      <w:r>
        <w:rPr>
          <w:color w:val="0066CC"/>
        </w:rPr>
        <w:t>3. PRAGMATIC: no todo lo que se puede contar cuenta</w:t>
      </w:r>
    </w:p>
    <w:p>
      <w:r>
        <w:t>Incluso cuando los objetivos y las preguntas están claros, la tentación de coleccionar métricas como cromos sigue ahí. Es donde entra PRAGMATIC, ese conjunto de atributos que nos obliga a maltratar con cariño cada métrica: ¿es predictiva o solo describe el pasado?, ¿es relevante para las decisiones o solo para adornar informes?, ¿es accionable o nos deja igual que estábamos?.</w:t>
      </w:r>
    </w:p>
    <w:p>
      <w:r>
        <w:t>Los nueve criterios (Predictivo, Relevante, Accionable, Genuino, Significativo, Preciso, Oportuno, Independiente y Rentable) funcionan como una especie de tribunal interno. Algunas métricas salen airosas; otras, después de un breve juicio sumarísimo, acaban donde deben: en la papelera.</w:t>
      </w:r>
    </w:p>
    <w:p>
      <w:pPr>
        <w:pStyle w:val="Heading2"/>
        <w:keepNext/>
        <w:keepLines/>
      </w:pPr>
      <w:r>
        <w:rPr>
          <w:color w:val="0066CC"/>
        </w:rPr>
        <w:t>4. FAIR‑STRIDE: dónde encaja este circo</w:t>
      </w:r>
    </w:p>
    <w:p>
      <w:r>
        <w:t>Recordemos el reparto: FAIR pone los números sobre la mesa (frecuencia y magnitud de pérdidas), y STRIDE pone nombres y apellidos a las amenazas. El marco GQM + PRAGMATIC actúa como director de escena: decide qué objetivos son prioritarios, qué preguntas son razonables y qué métricas merecen el esfuerzo de ser recogidas y gobernadas.</w:t>
      </w:r>
    </w:p>
    <w:p>
      <w:r>
        <w:t>Así, un objetivo nacional podría ser “reducir en un 40 % la pérdida anual esperada por indisponibilidad de servicios sanitarios críticos”. De ahí se derivan preguntas (¿cuántas horas de caída tenemos?, ¿qué pérdidas asociamos a cada hora?, ¿cómo impactan las inversiones en redundancia y respuesta?) y métricas (horas de indisponibilidad, distribución FAIR de pérdidas, cumplimiento de RTO/RPO). PRAGMATIC nos ayuda a decidir cuáles son útiles y cuáles sólo inflan el informe.</w:t>
      </w:r>
    </w:p>
    <w:p>
      <w:pPr>
        <w:pStyle w:val="Heading2"/>
        <w:keepNext/>
        <w:keepLines/>
      </w:pPr>
      <w:r>
        <w:rPr>
          <w:color w:val="0066CC"/>
        </w:rPr>
        <w:t>5. Indicadores con DNI: trazabilidad como antídoto político</w:t>
      </w:r>
    </w:p>
    <w:p>
      <w:r>
        <w:t>En entornos nacionales y sectoriales, los indicadores se convierten rápidamente en munición: se exhiben para pedir presupuesto, se esconden para evitar reproches. El enfoque GQM obliga a algo incómodo pero saludable: documentar para cada métrica qué objetivo sirve, qué pregunta responde y con qué calidad PRAGMATIC lo hace.</w:t>
      </w:r>
    </w:p>
    <w:p>
      <w:r>
        <w:t>Esto introduce una forma de trazabilidad que desincentiva la métrica oportunista. Si un indicador no está claramente vinculado a un objetivo FAIR‑STRIDE y puntúa mal en PRAGMATIC, cuesta más defenderlo como pieza central de la estrategia. Y, al revés, cuando una métrica ofrece alto valor predictivo, es accionable y rentable, queda bastante mal ignorarla en los foros de decisión.</w:t>
      </w:r>
    </w:p>
    <w:p>
      <w:pPr>
        <w:pStyle w:val="Heading2"/>
        <w:keepNext/>
        <w:keepLines/>
      </w:pPr>
      <w:r>
        <w:rPr>
          <w:color w:val="0066CC"/>
        </w:rPr>
        <w:t>6. El lado humano: incentivos, sesgos y métricas domesticadas</w:t>
      </w:r>
    </w:p>
    <w:p>
      <w:r>
        <w:t>No conviene olvidar que las métricas, una vez introducidas en el ecosistema, tienden a desarrollar vida propia. Si se vinculan directamente a objetivos individuales o presupuestos, pueden aparecer comportamientos creativos: redefinir qué es “incidente”, reclasificar procesos como “no críticos” para mejorar ratios, y otros artes menores de supervivencia organizativa.</w:t>
      </w:r>
    </w:p>
    <w:p>
      <w:r>
        <w:t>El criterio “Independiente” de PRAGMATIC existe precisamente para recordar que la mejor métrica es la que es difícil de manipular sin dejar huellas. No siempre es posible alcanzar la pureza estadística, pero al menos conviene ser consciente de los incentivos que se crean y ajustar el diseño en consecuencia.</w:t>
      </w:r>
    </w:p>
    <w:p>
      <w:pPr>
        <w:pStyle w:val="Heading2"/>
        <w:keepNext/>
        <w:keepLines/>
      </w:pPr>
      <w:r>
        <w:rPr>
          <w:color w:val="0066CC"/>
        </w:rPr>
        <w:t>7. Entre el maximalismo y la suficiencia razonable</w:t>
      </w:r>
    </w:p>
    <w:p>
      <w:r>
        <w:t>El marco no pretende que cada país, sector u organización construya una enciclopedia métrica. De hecho, una de sus virtudes es que fuerza a elegir. Un puñado de buenas métricas FAIR‑STRIDE, bien definidas y mantenidas, suele ser más útil que decenas de indicadores que nadie mira con la atención necesaria.</w:t>
      </w:r>
    </w:p>
    <w:p>
      <w:r>
        <w:t>La ambición razonable sería disponer, a nivel nacional, de un núcleo duro de métricas económicas FAIR por propiedad (autenticidad, integridad, no repudio, confidencialidad, disponibilidad, autorización) y un conjunto complementario de métricas operativas muy accionables. Todo ello gobernado bajo GQM + PRAGMATIC, revisado periódicamente y utilizado sin miedo a admitir sus límites.</w:t>
      </w:r>
    </w:p>
    <w:p>
      <w:pPr>
        <w:pStyle w:val="Heading2"/>
        <w:keepNext/>
        <w:keepLines/>
      </w:pPr>
      <w:r>
        <w:rPr>
          <w:color w:val="0066CC"/>
        </w:rPr>
        <w:t>8. Y ahora, a ensuciarse las manos</w:t>
      </w:r>
    </w:p>
    <w:p>
      <w:r>
        <w:t>Llega un momento en que los marcos dejan de servir de refugio y hay que pasar a la práctica: decidir qué objetivos son realmente importantes, qué preguntas nos avergüenza no poder contestar y qué datos estamos dispuestos a recopilar sin perder la cordura. El material que acompaña a esta narrativa —matrices, plantillas, mapeos normativos— no pretende ser definitivo, sino un punto de partida.</w:t>
      </w:r>
    </w:p>
    <w:p>
      <w:r>
        <w:t>Si al final de todo este ejercicio un responsable nacional puede responder, con cifras defendibles, a preguntas como “¿cuánto nos cuesta, en términos de pérdida anual esperada, no desplegar MFA en servicios esenciales?” o “¿cuál es el ROI estimado de mejorar nuestros planes de continuidad en sanidad?”, entonces el esfuerzo habrá merecido la pena. Y quizá, solo quizá, la próxima presentación al consejo use menos colores y más números.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