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GQM + PRAGMATIC a requisitos normativos</w:t>
      </w:r>
    </w:p>
    <w:p>
      <w:r>
        <w:t>Tabla orientativa que conecta objetivos y métricas FAIR‑STRIDE (estructurados con GQM y evaluados con PRAGMATIC) con principales marcos normativos (ISO 27001/27005, NIST CSF/RMF, NIS2, DORA).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 FAIR‑STRIDE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 de Goal GQM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 clave asociadas (ejemplos)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/ 27005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/ RMF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DORA / UE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Autenticidad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Reducir la pérdida anual esperada por suplantación de identidad en servicios esenciales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Nº incidentes suplantación (A1); Pérdida anual esperada FAIR (A2); % MFA (A3)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Cláus. 6.1, A.5.15, A.5.17, A.8.2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ID.RA, PR.AC‑1/6, PR.IP‑12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21; requisitos de autenticación fuerte en sectores regulados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Integridad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Minimizar la pérdida anual esperada por alteraciones de integridad en datos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Nº incidentes integridad (I1); MTTD/MTTR integridad (I2); Pérdida FAIR (I3)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A.5.10, A.8.9, ISO 27005 (identificación y análisis)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PR.DS‑6/7, DE.CM‑7, RC.IM‑1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NIS2: integridad de redes y sistemas; requisitos de registro y trazabilidad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No repudio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Reducir exposición a pérdidas por disputas y fraudes por falta de evidencia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procesos críticos con no repudio (NR1); Nº/coste disputas (NR2)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A.8.11, A.8.15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PR.PT‑1, PR.DS‑1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DORA: evidencias de transacciones financieras; NIS2: obligación de registro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Confidencialidad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Disminuir la pérdida anual esperada por brechas de confidencialidad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Nº brechas datos (C1); Pérdida FAIR (C2); % cifrado datos sensibles (C3)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A.5.10, A.5.12, A.8.24, ISO 27005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PR.DS‑1/5, DE.CM‑1, RS.AN‑1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RGPD: protección de datos, brechas y notificación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Disponibilidad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Limitar pérdida anual esperada por indisponibilidad de servicios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Horas caída (D1); Pérdida FAIR (D2); % cumplimiento RTO/RPO (D3)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Cláus. 6.1, A.5.30, A.5.31, A.8.14, A.8.16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ID.BE‑5, PR.IP‑9, RC.RP‑1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NIS2: continuidad de servicios esenciales; DORA: resiliencia operativa digital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Autorización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Reducir pérdida anual esperada por abusos de privilegios y accesos indebidos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Nº incidentes abuso privilegios (AU1); % cuentas en PAM (AU2); Pérdida FAIR (AU3)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A.5.15, A.8.2, A.8.3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PR.AC‑4/5, DE.CM‑3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NIS2: gestión de accesos y privilegios; DORA: control de acceso en entidades financieras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Arquitectura / Zero Trust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Incrementar resiliencia mediante segmentación, verificación continua y mínimo privilegio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segmentación ZT desplegada; nº flujos críticos modelados con STRIDE; reducción pérdida FAIR asociada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A.5.7, A.5.19, A.8.23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PR.AC, PR.PT‑3/4, DE.CM‑7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NIS2: seguridad de redes y sistemas; guías europeas de Zero Trust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Resiliencia / Continuidad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Mejorar capacidad de recuperación frente a incidentes cibernéticos de alta severidad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Cumplimiento RTO/RPO; nº ejercicios de crisis; ROI de inversiones de continuidad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Cláus. 6.1, A.5.30‑32, ISO 22301 (si aplica)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PR.IP‑9, RC.IM‑1/2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21; DORA: pruebas de resiliencia avanzada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Datos y gobierno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Fortalecer calidad y gobernanza de datos de incidentes y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Calidad datos incidentes; existencia repositorio central; responsable de gobierno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A.5.8, A.5.36, A.8.16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ID.GV, DE.AE‑3, RS.AN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NIS2: reporte de incidentes y supervisión; DORA: reporting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Cultura y talento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Aumentar capacidades en cuantificación FAIR y modelado STRIDE en todo el ecosistema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Nº perfiles FAIR; nivel de formación; uso de métricas en comités de riesgo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Cláus. 7 (competencia, toma de conciencia)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ID.GV, PR.AT‑1/2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NIS2/DORA: gobernanza, responsabilidades de dirección</w:t>
            </w:r>
          </w:p>
        </w:tc>
      </w:tr>
    </w:tbl>
    <w:p/>
    <w:p>
      <w:r>
        <w:t>Cada métrica definida en el marco GQM se puede anotar en una tabla adicional, con columnas:</w:t>
      </w:r>
    </w:p>
    <w:p>
      <w:pPr>
        <w:pStyle w:val="ListBullet"/>
        <w:keepLines w:val="1"/>
        <w:keepNext w:val="1"/>
        <w:widowControl w:val="1"/>
      </w:pPr>
      <w:r>
        <w:t>Código métrica (p. ej., C2, D3, AU2).</w:t>
      </w:r>
    </w:p>
    <w:p>
      <w:pPr>
        <w:pStyle w:val="ListBullet"/>
        <w:keepLines w:val="1"/>
        <w:keepNext w:val="1"/>
        <w:widowControl w:val="1"/>
      </w:pPr>
      <w:r>
        <w:t>Goal GQM al que contribuye.</w:t>
      </w:r>
    </w:p>
    <w:p>
      <w:pPr>
        <w:pStyle w:val="ListBullet"/>
        <w:keepLines w:val="1"/>
        <w:keepNext w:val="1"/>
        <w:widowControl w:val="1"/>
      </w:pPr>
      <w:r>
        <w:t>Criterios PRAGMATIC (scores).</w:t>
      </w:r>
    </w:p>
    <w:p>
      <w:pPr>
        <w:pStyle w:val="ListBullet"/>
        <w:keepLines w:val="1"/>
        <w:keepNext w:val="1"/>
        <w:widowControl w:val="1"/>
      </w:pPr>
      <w:r>
        <w:t>Referencias normativas específicas (artículos, controles).</w:t>
      </w:r>
    </w:p>
    <w:p>
      <w:pPr>
        <w:pStyle w:val="ListBullet"/>
        <w:keepLines w:val="1"/>
        <w:widowControl w:val="1"/>
      </w:pPr>
      <w:r>
        <w:t>Uso en informes nacionales, sectoriales, organizativos.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