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de Excel para cálculo de IGM y ROI con GQM + PRAGMATIC</w:t>
      </w:r>
    </w:p>
    <w:p>
      <w:pPr>
        <w:pStyle w:val="Heading2"/>
        <w:keepNext/>
        <w:keepLines/>
      </w:pPr>
      <w:r>
        <w:rPr>
          <w:color w:val="0066CC"/>
        </w:rPr>
        <w:t>1. Estructura propuesta del libro</w:t>
      </w:r>
    </w:p>
    <w:p>
      <w:r>
        <w:t>Hojas recomendadas:</w:t>
      </w:r>
    </w:p>
    <w:p>
      <w:pPr>
        <w:pStyle w:val="ListBullet"/>
        <w:keepLines w:val="1"/>
        <w:keepNext w:val="1"/>
        <w:widowControl w:val="1"/>
      </w:pPr>
      <w:r>
        <w:t>Métricas: registro de valores de métricas FAIR‑STRIDE para cada organización/sector.</w:t>
      </w:r>
    </w:p>
    <w:p>
      <w:pPr>
        <w:pStyle w:val="ListBullet"/>
        <w:keepLines w:val="1"/>
        <w:keepNext w:val="1"/>
        <w:widowControl w:val="1"/>
      </w:pPr>
      <w:r>
        <w:t>GQM: definición de objetivos y preguntas asociadas a las métricas.</w:t>
      </w:r>
    </w:p>
    <w:p>
      <w:pPr>
        <w:pStyle w:val="ListBullet"/>
        <w:keepLines w:val="1"/>
        <w:keepNext w:val="1"/>
        <w:widowControl w:val="1"/>
      </w:pPr>
      <w:r>
        <w:t>PRAGMATIC: puntuación de calidad de cada métrica.</w:t>
      </w:r>
    </w:p>
    <w:p>
      <w:pPr>
        <w:pStyle w:val="ListBullet"/>
        <w:keepLines w:val="1"/>
        <w:keepNext w:val="1"/>
        <w:widowControl w:val="1"/>
      </w:pPr>
      <w:r>
        <w:t>IGM: cálculo de Índice Global de Madurez y subíndices.</w:t>
      </w:r>
    </w:p>
    <w:p>
      <w:pPr>
        <w:pStyle w:val="ListBullet"/>
        <w:keepLines w:val="1"/>
        <w:keepNext w:val="1"/>
        <w:widowControl w:val="1"/>
      </w:pPr>
      <w:r>
        <w:t>ROI: análisis de retorno de la inversión en iniciativas.</w:t>
      </w:r>
    </w:p>
    <w:p>
      <w:pPr>
        <w:pStyle w:val="ListBullet"/>
        <w:keepLines w:val="1"/>
        <w:widowControl w:val="1"/>
      </w:pPr>
      <w:r>
        <w:t>Dashboards: gráficos y tablas para reportes.</w:t>
      </w:r>
    </w:p>
    <w:p>
      <w:pPr>
        <w:pStyle w:val="Heading2"/>
        <w:keepNext/>
        <w:keepLines/>
      </w:pPr>
      <w:r>
        <w:rPr>
          <w:color w:val="0066CC"/>
        </w:rPr>
        <w:t>2. Hoja «Métricas»</w:t>
      </w:r>
    </w:p>
    <w:p>
      <w:r>
        <w:t>Columnas sugeridas:</w:t>
      </w:r>
    </w:p>
    <w:p>
      <w:pPr>
        <w:pStyle w:val="ListBullet"/>
        <w:keepLines w:val="1"/>
        <w:keepNext w:val="1"/>
        <w:widowControl w:val="1"/>
      </w:pPr>
      <w:r>
        <w:t>Entidad_ID: organización, sector o ámbito territorial.</w:t>
      </w:r>
    </w:p>
    <w:p>
      <w:pPr>
        <w:pStyle w:val="ListBullet"/>
        <w:keepLines w:val="1"/>
        <w:keepNext w:val="1"/>
        <w:widowControl w:val="1"/>
      </w:pPr>
      <w:r>
        <w:t>Fecha: periodo de referencia (año, semestre, trimestre).</w:t>
      </w:r>
    </w:p>
    <w:p>
      <w:pPr>
        <w:pStyle w:val="ListBullet"/>
        <w:keepLines w:val="1"/>
        <w:keepNext w:val="1"/>
        <w:widowControl w:val="1"/>
      </w:pPr>
      <w:r>
        <w:t>Métrica_ID: código (A1, A2, I1, C2, etc.).</w:t>
      </w:r>
    </w:p>
    <w:p>
      <w:pPr>
        <w:pStyle w:val="ListBullet"/>
        <w:keepLines w:val="1"/>
        <w:keepNext w:val="1"/>
        <w:widowControl w:val="1"/>
      </w:pPr>
      <w:r>
        <w:t>Valor: valor numérico de la métrica (ej. 12 incidentes, 3.5M€, 87 %).</w:t>
      </w:r>
    </w:p>
    <w:p>
      <w:pPr>
        <w:pStyle w:val="ListBullet"/>
        <w:keepLines w:val="1"/>
        <w:keepNext w:val="1"/>
        <w:widowControl w:val="1"/>
      </w:pPr>
      <w:r>
        <w:t>Unidad: unidades (nº, €, %, horas, etc.).</w:t>
      </w:r>
    </w:p>
    <w:p>
      <w:pPr>
        <w:pStyle w:val="ListBullet"/>
        <w:keepLines w:val="1"/>
        <w:keepNext w:val="1"/>
        <w:widowControl w:val="1"/>
      </w:pPr>
      <w:r>
        <w:t>Dominio: Autenticidad, Integridad, etc.</w:t>
      </w:r>
    </w:p>
    <w:p>
      <w:pPr>
        <w:pStyle w:val="ListBullet"/>
        <w:keepLines w:val="1"/>
        <w:keepNext w:val="1"/>
        <w:widowControl w:val="1"/>
      </w:pPr>
      <w:r>
        <w:t>Goal_ID: referencia al objetivo GQM principal.</w:t>
      </w:r>
    </w:p>
    <w:p>
      <w:pPr>
        <w:pStyle w:val="ListBullet"/>
        <w:keepLines w:val="1"/>
        <w:widowControl w:val="1"/>
      </w:pPr>
      <w:r>
        <w:t>Fuente_Datos: sistema o proceso de donde se extrae la métrica.</w:t>
      </w:r>
    </w:p>
    <w:p>
      <w:pPr>
        <w:pStyle w:val="Heading2"/>
        <w:keepNext/>
        <w:keepLines/>
      </w:pPr>
      <w:r>
        <w:rPr>
          <w:color w:val="0066CC"/>
        </w:rPr>
        <w:t>3. Hoja «GQM»</w:t>
      </w:r>
    </w:p>
    <w:p>
      <w:r>
        <w:t>Columnas:</w:t>
      </w:r>
    </w:p>
    <w:p>
      <w:pPr>
        <w:pStyle w:val="ListBullet"/>
        <w:keepLines w:val="1"/>
        <w:keepNext w:val="1"/>
        <w:widowControl w:val="1"/>
      </w:pPr>
      <w:r>
        <w:t>Goal_ID: identificador del objetivo (ej. G_AUT_01).</w:t>
      </w:r>
    </w:p>
    <w:p>
      <w:pPr>
        <w:pStyle w:val="ListBullet"/>
        <w:keepLines w:val="1"/>
        <w:keepNext w:val="1"/>
        <w:widowControl w:val="1"/>
      </w:pPr>
      <w:r>
        <w:t>Nivel: Nacional / Sectorial / Organizativo.</w:t>
      </w:r>
    </w:p>
    <w:p>
      <w:pPr>
        <w:pStyle w:val="ListBullet"/>
        <w:keepLines w:val="1"/>
        <w:keepNext w:val="1"/>
        <w:widowControl w:val="1"/>
      </w:pPr>
      <w:r>
        <w:t>Descripción_Goal: texto del objetivo.</w:t>
      </w:r>
    </w:p>
    <w:p>
      <w:pPr>
        <w:pStyle w:val="ListBullet"/>
        <w:keepLines w:val="1"/>
        <w:keepNext w:val="1"/>
        <w:widowControl w:val="1"/>
      </w:pPr>
      <w:r>
        <w:t>Question_ID: identificador de la pregunta (ej. Q_AUT_01).</w:t>
      </w:r>
    </w:p>
    <w:p>
      <w:pPr>
        <w:pStyle w:val="ListBullet"/>
        <w:keepLines w:val="1"/>
        <w:keepNext w:val="1"/>
        <w:widowControl w:val="1"/>
      </w:pPr>
      <w:r>
        <w:t>Descripción_Pregunta: texto de la pregunta.</w:t>
      </w:r>
    </w:p>
    <w:p>
      <w:pPr>
        <w:pStyle w:val="ListBullet"/>
        <w:keepLines w:val="1"/>
        <w:keepNext w:val="1"/>
        <w:widowControl w:val="1"/>
      </w:pPr>
      <w:r>
        <w:t>Métrica_ID: código asociado (puede haber varias métricas por pregunta).</w:t>
      </w:r>
    </w:p>
    <w:p>
      <w:pPr>
        <w:pStyle w:val="ListBullet"/>
        <w:keepLines w:val="1"/>
        <w:keepNext w:val="1"/>
        <w:widowControl w:val="1"/>
      </w:pPr>
      <w:r>
        <w:t>Peso_Goal: peso relativo del objetivo en el IGM.</w:t>
      </w:r>
    </w:p>
    <w:p>
      <w:pPr>
        <w:pStyle w:val="ListBullet"/>
        <w:keepLines w:val="1"/>
        <w:widowControl w:val="1"/>
      </w:pPr>
      <w:r>
        <w:t>Peso_Métrica: peso de la métrica dentro del objetivo.</w:t>
      </w:r>
    </w:p>
    <w:p>
      <w:pPr>
        <w:pStyle w:val="Heading2"/>
        <w:keepNext/>
        <w:keepLines/>
      </w:pPr>
      <w:r>
        <w:rPr>
          <w:color w:val="0066CC"/>
        </w:rPr>
        <w:t>4. Hoja «PRAGMATIC»</w:t>
      </w:r>
    </w:p>
    <w:p>
      <w:r>
        <w:t>Columnas:</w:t>
      </w:r>
    </w:p>
    <w:p>
      <w:pPr>
        <w:pStyle w:val="ListBullet"/>
        <w:keepLines w:val="1"/>
        <w:keepNext w:val="1"/>
        <w:widowControl w:val="1"/>
      </w:pPr>
      <w:r>
        <w:t>Métrica_ID</w:t>
      </w:r>
    </w:p>
    <w:p>
      <w:pPr>
        <w:pStyle w:val="ListBullet"/>
        <w:keepLines w:val="1"/>
        <w:keepNext w:val="1"/>
        <w:widowControl w:val="1"/>
      </w:pPr>
      <w:r>
        <w:t>Predictivo (0‑5)</w:t>
      </w:r>
    </w:p>
    <w:p>
      <w:pPr>
        <w:pStyle w:val="ListBullet"/>
        <w:keepLines w:val="1"/>
        <w:keepNext w:val="1"/>
        <w:widowControl w:val="1"/>
      </w:pPr>
      <w:r>
        <w:t>Relevante (0‑5)</w:t>
      </w:r>
    </w:p>
    <w:p>
      <w:pPr>
        <w:pStyle w:val="ListBullet"/>
        <w:keepLines w:val="1"/>
        <w:keepNext w:val="1"/>
        <w:widowControl w:val="1"/>
      </w:pPr>
      <w:r>
        <w:t>Accionable (0‑5)</w:t>
      </w:r>
    </w:p>
    <w:p>
      <w:pPr>
        <w:pStyle w:val="ListBullet"/>
        <w:keepLines w:val="1"/>
        <w:keepNext w:val="1"/>
        <w:widowControl w:val="1"/>
      </w:pPr>
      <w:r>
        <w:t>Genuino (0‑5)</w:t>
      </w:r>
    </w:p>
    <w:p>
      <w:pPr>
        <w:pStyle w:val="ListBullet"/>
        <w:keepLines w:val="1"/>
        <w:keepNext w:val="1"/>
        <w:widowControl w:val="1"/>
      </w:pPr>
      <w:r>
        <w:t>Significativo (0‑5)</w:t>
      </w:r>
    </w:p>
    <w:p>
      <w:pPr>
        <w:pStyle w:val="ListBullet"/>
        <w:keepLines w:val="1"/>
        <w:keepNext w:val="1"/>
        <w:widowControl w:val="1"/>
      </w:pPr>
      <w:r>
        <w:t>Preciso (0‑5)</w:t>
      </w:r>
    </w:p>
    <w:p>
      <w:pPr>
        <w:pStyle w:val="ListBullet"/>
        <w:keepLines w:val="1"/>
        <w:keepNext w:val="1"/>
        <w:widowControl w:val="1"/>
      </w:pPr>
      <w:r>
        <w:t>Oportuno (0‑5)</w:t>
      </w:r>
    </w:p>
    <w:p>
      <w:pPr>
        <w:pStyle w:val="ListBullet"/>
        <w:keepLines w:val="1"/>
        <w:keepNext w:val="1"/>
        <w:widowControl w:val="1"/>
      </w:pPr>
      <w:r>
        <w:t>Independiente (0‑5)</w:t>
      </w:r>
    </w:p>
    <w:p>
      <w:pPr>
        <w:pStyle w:val="ListBullet"/>
        <w:keepLines w:val="1"/>
        <w:keepNext w:val="1"/>
        <w:widowControl w:val="1"/>
      </w:pPr>
      <w:r>
        <w:t>Rentable (0‑5)</w:t>
      </w:r>
    </w:p>
    <w:p>
      <w:pPr>
        <w:pStyle w:val="ListBullet"/>
        <w:keepLines w:val="1"/>
        <w:keepNext w:val="1"/>
        <w:widowControl w:val="1"/>
      </w:pPr>
      <w:r>
        <w:t>Score_Medio: media simple o ponderada de los nueve criterios.</w:t>
      </w:r>
    </w:p>
    <w:p>
      <w:pPr>
        <w:pStyle w:val="ListBullet"/>
        <w:keepLines w:val="1"/>
        <w:widowControl w:val="1"/>
      </w:pPr>
      <w:r>
        <w:t>Comentarios: notas sobre puntos fuertes y débiles.</w:t>
      </w:r>
    </w:p>
    <w:p>
      <w:r>
        <w:t xml:space="preserve">Se puede definir una regla de negocio: sólo las métricas con </w:t>
      </w:r>
      <w:r>
        <w:rPr>
          <w:rFonts w:ascii="Courier New" w:hAnsi="Courier New"/>
          <w:sz w:val="18"/>
        </w:rPr>
        <w:t>Score_Medio ≥ X</w:t>
      </w:r>
      <w:r>
        <w:t xml:space="preserve"> se usan en el IGM, o se asignan pesos mayores a métricas con mejor perfil PRAGMATIC.</w:t>
      </w:r>
    </w:p>
    <w:p>
      <w:pPr>
        <w:pStyle w:val="Heading2"/>
        <w:keepNext/>
        <w:keepLines/>
      </w:pPr>
      <w:r>
        <w:rPr>
          <w:color w:val="0066CC"/>
        </w:rPr>
        <w:t>5. Hoja «IGM»</w:t>
      </w:r>
    </w:p>
    <w:p>
      <w:r>
        <w:t>Objetivo: calcular índices de madurez y, opcionalmente, de “calidad métrica”.</w:t>
      </w:r>
    </w:p>
    <w:p>
      <w:pPr>
        <w:pStyle w:val="Heading3"/>
        <w:keepNext/>
        <w:keepLines/>
      </w:pPr>
      <w:r>
        <w:t>5.1 Cálculo de subíndices por dominio</w:t>
      </w:r>
    </w:p>
    <w:p>
      <w:r>
        <w:t xml:space="preserve">Para cada </w:t>
      </w:r>
      <w:r>
        <w:rPr>
          <w:rFonts w:ascii="Courier New" w:hAnsi="Courier New"/>
          <w:sz w:val="18"/>
        </w:rPr>
        <w:t>Entidad_ID</w:t>
      </w:r>
      <w:r>
        <w:t xml:space="preserve"> y </w:t>
      </w:r>
      <w:r>
        <w:rPr>
          <w:rFonts w:ascii="Courier New" w:hAnsi="Courier New"/>
          <w:sz w:val="18"/>
        </w:rPr>
        <w:t>Dominio</w:t>
      </w:r>
      <w:r>
        <w:t>:</w:t>
      </w:r>
    </w:p>
    <w:p>
      <w:pPr>
        <w:pStyle w:val="ListBullet"/>
        <w:keepLines w:val="1"/>
        <w:keepNext w:val="1"/>
        <w:widowControl w:val="1"/>
      </w:pPr>
      <w:r>
        <w:t>Traer desde Métricas los valores de métricas activas (las que cumplen umbral PRAGMATIC).</w:t>
      </w:r>
    </w:p>
    <w:p>
      <w:pPr>
        <w:pStyle w:val="ListBullet"/>
        <w:keepLines w:val="1"/>
        <w:widowControl w:val="1"/>
      </w:pPr>
      <w:r>
        <w:t>A cada métrica se le asocia un Peso_Métrica (desde GQM) y opcionalmente un factor basado en Score_Medio PRAGMATIC (por ejemplo, multiplicar por Score_Medio / 5).</w:t>
      </w:r>
    </w:p>
    <w:p>
      <w:r>
        <w:t>Ejemplo de fórmula conceptual:</w:t>
      </w:r>
    </w:p>
    <w:p>
      <w:pPr>
        <w:pStyle w:val="ListBullet"/>
        <w:keepLines w:val="1"/>
        <w:keepNext w:val="1"/>
        <w:widowControl w:val="1"/>
      </w:pPr>
      <w:r>
        <w:t>Score_Métrica_Normalizada = f(Valor) (si es necesario normalizar a escala 0‑4).</w:t>
      </w:r>
    </w:p>
    <w:p>
      <w:pPr>
        <w:pStyle w:val="ListBullet"/>
        <w:keepLines w:val="1"/>
        <w:keepNext w:val="1"/>
        <w:widowControl w:val="1"/>
      </w:pPr>
      <w:r>
        <w:t>Score_Ajustado = Score_Métrica_Normalizada * (Score_Medio / 5).</w:t>
      </w:r>
    </w:p>
    <w:p>
      <w:pPr>
        <w:pStyle w:val="ListBullet"/>
        <w:keepLines w:val="1"/>
        <w:widowControl w:val="1"/>
      </w:pPr>
      <w:r>
        <w:t>Subíndice_Dominio = Σ(Score_Ajustado * Peso_Métrica) / Σ(Peso_Métrica).</w:t>
      </w:r>
    </w:p>
    <w:p>
      <w:pPr>
        <w:pStyle w:val="Heading3"/>
        <w:keepNext/>
        <w:keepLines/>
      </w:pPr>
      <w:r>
        <w:t>5.2 Índice Global de Madurez (IGM)</w:t>
      </w:r>
    </w:p>
    <w:p>
      <w:pPr>
        <w:pStyle w:val="ListBullet"/>
        <w:keepLines w:val="1"/>
        <w:widowControl w:val="1"/>
      </w:pPr>
      <w:r>
        <w:t>IGM = Σ(Subíndice_Dominio * Peso_Dominio) / Σ(Peso_Dominio).</w:t>
      </w:r>
    </w:p>
    <w:p>
      <w:r>
        <w:t>Peso_Dominio puede definirse a nivel nacional (por ejemplo, dar más peso a Disponibilidad y Confidencialidad para ciertos sectores).</w:t>
      </w:r>
    </w:p>
    <w:p>
      <w:pPr>
        <w:pStyle w:val="Heading2"/>
        <w:keepNext/>
        <w:keepLines/>
      </w:pPr>
      <w:r>
        <w:rPr>
          <w:color w:val="0066CC"/>
        </w:rPr>
        <w:t>6. Hoja «ROI»</w:t>
      </w:r>
    </w:p>
    <w:p>
      <w:r>
        <w:t>Tabla de iniciativas (similar a la plantilla anterior, extendida con GQM):</w:t>
      </w:r>
    </w:p>
    <w:p>
      <w:r>
        <w:t>Columnas:</w:t>
      </w:r>
    </w:p>
    <w:p>
      <w:pPr>
        <w:pStyle w:val="ListBullet"/>
        <w:keepLines w:val="1"/>
        <w:keepNext w:val="1"/>
        <w:widowControl w:val="1"/>
      </w:pPr>
      <w:r>
        <w:t>Iniciativa_ID</w:t>
      </w:r>
    </w:p>
    <w:p>
      <w:pPr>
        <w:pStyle w:val="ListBullet"/>
        <w:keepLines w:val="1"/>
        <w:keepNext w:val="1"/>
        <w:widowControl w:val="1"/>
      </w:pPr>
      <w:r>
        <w:t>Descripción</w:t>
      </w:r>
    </w:p>
    <w:p>
      <w:pPr>
        <w:pStyle w:val="ListBullet"/>
        <w:keepLines w:val="1"/>
        <w:keepNext w:val="1"/>
        <w:widowControl w:val="1"/>
      </w:pPr>
      <w:r>
        <w:t>Dominio_Principal</w:t>
      </w:r>
    </w:p>
    <w:p>
      <w:pPr>
        <w:pStyle w:val="ListBullet"/>
        <w:keepLines w:val="1"/>
        <w:keepNext w:val="1"/>
        <w:widowControl w:val="1"/>
      </w:pPr>
      <w:r>
        <w:t>Goals_Asociados (lista de Goal_ID)</w:t>
      </w:r>
    </w:p>
    <w:p>
      <w:pPr>
        <w:pStyle w:val="ListBullet"/>
        <w:keepLines w:val="1"/>
        <w:keepNext w:val="1"/>
        <w:widowControl w:val="1"/>
      </w:pPr>
      <w:r>
        <w:t>Coste_Inicial</w:t>
      </w:r>
    </w:p>
    <w:p>
      <w:pPr>
        <w:pStyle w:val="ListBullet"/>
        <w:keepLines w:val="1"/>
        <w:keepNext w:val="1"/>
        <w:widowControl w:val="1"/>
      </w:pPr>
      <w:r>
        <w:t>Coste_Anual</w:t>
      </w:r>
    </w:p>
    <w:p>
      <w:pPr>
        <w:pStyle w:val="ListBullet"/>
        <w:keepLines w:val="1"/>
        <w:keepNext w:val="1"/>
        <w:widowControl w:val="1"/>
      </w:pPr>
      <w:r>
        <w:t>Pérdida_Actual (media/p90 FAIR antes de la iniciativa)</w:t>
      </w:r>
    </w:p>
    <w:p>
      <w:pPr>
        <w:pStyle w:val="ListBullet"/>
        <w:keepLines w:val="1"/>
        <w:keepNext w:val="1"/>
        <w:widowControl w:val="1"/>
      </w:pPr>
      <w:r>
        <w:t>Pérdida_Prevista</w:t>
      </w:r>
    </w:p>
    <w:p>
      <w:pPr>
        <w:pStyle w:val="ListBullet"/>
        <w:keepLines w:val="1"/>
        <w:keepNext w:val="1"/>
        <w:widowControl w:val="1"/>
      </w:pPr>
      <w:r>
        <w:t>Reducción_Pérdida</w:t>
      </w:r>
    </w:p>
    <w:p>
      <w:pPr>
        <w:pStyle w:val="ListBullet"/>
        <w:keepLines w:val="1"/>
        <w:keepNext w:val="1"/>
        <w:widowControl w:val="1"/>
      </w:pPr>
      <w:r>
        <w:t>Horizonte_Anios</w:t>
      </w:r>
    </w:p>
    <w:p>
      <w:pPr>
        <w:pStyle w:val="ListBullet"/>
        <w:keepLines w:val="1"/>
        <w:keepNext w:val="1"/>
        <w:widowControl w:val="1"/>
      </w:pPr>
      <w:r>
        <w:t>Beneficio_Total</w:t>
      </w:r>
    </w:p>
    <w:p>
      <w:pPr>
        <w:pStyle w:val="ListBullet"/>
        <w:keepLines w:val="1"/>
        <w:keepNext w:val="1"/>
        <w:widowControl w:val="1"/>
      </w:pPr>
      <w:r>
        <w:t>Coste_Total</w:t>
      </w:r>
    </w:p>
    <w:p>
      <w:pPr>
        <w:pStyle w:val="ListBullet"/>
        <w:keepLines w:val="1"/>
        <w:keepNext w:val="1"/>
        <w:widowControl w:val="1"/>
      </w:pPr>
      <w:r>
        <w:t>ROI_%</w:t>
      </w:r>
    </w:p>
    <w:p>
      <w:pPr>
        <w:pStyle w:val="ListBullet"/>
        <w:keepLines w:val="1"/>
        <w:keepNext w:val="1"/>
        <w:widowControl w:val="1"/>
      </w:pPr>
      <w:r>
        <w:t>Payback_Anios</w:t>
      </w:r>
    </w:p>
    <w:p>
      <w:pPr>
        <w:pStyle w:val="ListBullet"/>
        <w:keepLines w:val="1"/>
        <w:widowControl w:val="1"/>
      </w:pPr>
      <w:r>
        <w:t>Impacto_IGM_Estimado (cambio de subíndice/dominio y del IGM)</w:t>
      </w:r>
    </w:p>
    <w:p>
      <w:r>
        <w:t>Así, cada iniciativa puede justificarse tanto por su impacto en riesgo económico como por su contribución a la madurez medida por el IGM.</w:t>
      </w:r>
    </w:p>
    <w:p>
      <w:pPr>
        <w:pStyle w:val="Heading2"/>
        <w:keepNext/>
        <w:keepLines/>
      </w:pPr>
      <w:r>
        <w:rPr>
          <w:color w:val="0066CC"/>
        </w:rPr>
        <w:t>7. Hoja «Dashboards»</w:t>
      </w:r>
    </w:p>
    <w:p>
      <w:r>
        <w:t>Elementos recomendados:</w:t>
      </w:r>
    </w:p>
    <w:p>
      <w:pPr>
        <w:pStyle w:val="ListBullet"/>
        <w:keepLines w:val="1"/>
        <w:keepNext w:val="1"/>
        <w:widowControl w:val="1"/>
      </w:pPr>
      <w:r>
        <w:t>Gráfico del IGM y subíndices por dominio, para cada entidad y periodo.</w:t>
      </w:r>
    </w:p>
    <w:p>
      <w:pPr>
        <w:pStyle w:val="ListBullet"/>
        <w:keepLines w:val="1"/>
        <w:keepNext w:val="1"/>
        <w:widowControl w:val="1"/>
      </w:pPr>
      <w:r>
        <w:t>Gráficos que comparen métricas económicas FAIR con niveles de controles (por ejemplo, pérdidas por suplantación vs. % MFA).</w:t>
      </w:r>
    </w:p>
    <w:p>
      <w:pPr>
        <w:pStyle w:val="ListBullet"/>
        <w:keepLines w:val="1"/>
        <w:keepNext w:val="1"/>
        <w:widowControl w:val="1"/>
      </w:pPr>
      <w:r>
        <w:t>Mapas de calor que muestren, por sector o territorio, IGM y principales gaps PRAGMATIC.</w:t>
      </w:r>
    </w:p>
    <w:p>
      <w:pPr>
        <w:pStyle w:val="ListBullet"/>
        <w:keepLines w:val="1"/>
        <w:widowControl w:val="1"/>
      </w:pPr>
      <w:r>
        <w:t>Vistas específicas para reguladores (visión macro) y para organizaciones (visión micro).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