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FAIR‑STRIDE con GQM + PRAGMATIC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«Indicadores FAIR‑STRIDE en España: de los objetivos a los datos».</w:t>
      </w:r>
    </w:p>
    <w:p>
      <w:pPr>
        <w:pStyle w:val="ListBullet"/>
        <w:keepLines w:val="1"/>
        <w:keepNext w:val="1"/>
        <w:widowControl w:val="1"/>
      </w:pPr>
      <w:r>
        <w:t>Subtítulo: Marco GQM + PRAGMATIC y resultados principales.</w:t>
      </w:r>
    </w:p>
    <w:p>
      <w:pPr>
        <w:pStyle w:val="ListBullet"/>
        <w:keepLines w:val="1"/>
        <w:widowControl w:val="1"/>
      </w:pPr>
      <w:r>
        <w:t>Datos de fecha, organismo responsable y alcance del informe.</w:t>
      </w:r>
    </w:p>
    <w:p>
      <w:pPr>
        <w:pStyle w:val="Heading2"/>
        <w:keepNext/>
        <w:keepLines/>
      </w:pPr>
      <w:r>
        <w:rPr>
          <w:color w:val="0066CC"/>
        </w:rPr>
        <w:t>Diapositiva 2 – Mensajes clave</w:t>
      </w:r>
    </w:p>
    <w:p>
      <w:pPr>
        <w:pStyle w:val="ListBullet"/>
        <w:keepLines w:val="1"/>
        <w:keepNext w:val="1"/>
        <w:widowControl w:val="1"/>
      </w:pPr>
      <w:r>
        <w:t>3‑5 ideas principales: nivel actual de madurez (IGM), dominios fuertes/débiles, principales riesgos económicos modelados.</w:t>
      </w:r>
    </w:p>
    <w:p>
      <w:pPr>
        <w:pStyle w:val="ListBullet"/>
        <w:keepLines w:val="1"/>
        <w:widowControl w:val="1"/>
      </w:pPr>
      <w:r>
        <w:t>Una frase sobre el valor del enfoque GQM + PRAGMATIC para la gobernanza nacional.</w:t>
      </w:r>
    </w:p>
    <w:p>
      <w:pPr>
        <w:pStyle w:val="Heading2"/>
        <w:keepNext/>
        <w:keepLines/>
      </w:pPr>
      <w:r>
        <w:rPr>
          <w:color w:val="0066CC"/>
        </w:rPr>
        <w:t>Diapositiva 3 – Marco conceptual</w:t>
      </w:r>
    </w:p>
    <w:p>
      <w:pPr>
        <w:pStyle w:val="ListBullet"/>
        <w:keepLines w:val="1"/>
        <w:keepNext w:val="1"/>
        <w:widowControl w:val="1"/>
      </w:pPr>
      <w:r>
        <w:t>Esquema visual: objetivos nacionales → GQM → métricas FAIR‑STRIDE → PRAGMATIC → decisiones.</w:t>
      </w:r>
    </w:p>
    <w:p>
      <w:pPr>
        <w:pStyle w:val="ListBullet"/>
        <w:keepLines w:val="1"/>
        <w:widowControl w:val="1"/>
      </w:pPr>
      <w:r>
        <w:t>Referencia breve a FAIR (cuantificación) y STRIDE (amenazas).</w:t>
      </w:r>
    </w:p>
    <w:p>
      <w:pPr>
        <w:pStyle w:val="Heading2"/>
        <w:keepNext/>
        <w:keepLines/>
      </w:pPr>
      <w:r>
        <w:rPr>
          <w:color w:val="0066CC"/>
        </w:rPr>
        <w:t>Diapositiva 4 – Objetivos estratégicos y preguntas clave</w:t>
      </w:r>
    </w:p>
    <w:p>
      <w:pPr>
        <w:pStyle w:val="ListBullet"/>
        <w:keepLines w:val="1"/>
        <w:keepNext w:val="1"/>
        <w:widowControl w:val="1"/>
      </w:pPr>
      <w:r>
        <w:t>Tabla sencilla con 3‑5 objetivos nacionales (ej. pérdida económica, continuidad de servicios esenciales, cumplimiento).</w:t>
      </w:r>
    </w:p>
    <w:p>
      <w:pPr>
        <w:pStyle w:val="ListBullet"/>
        <w:keepLines w:val="1"/>
        <w:widowControl w:val="1"/>
      </w:pPr>
      <w:r>
        <w:t>Preguntas ejecutivas que cada objetivo plantea (ej. “¿Cuánto nos cuesta la indisponibilidad de sanidad?”).</w:t>
      </w:r>
    </w:p>
    <w:p>
      <w:pPr>
        <w:pStyle w:val="Heading2"/>
        <w:keepNext/>
        <w:keepLines/>
      </w:pPr>
      <w:r>
        <w:rPr>
          <w:color w:val="0066CC"/>
        </w:rPr>
        <w:t>Diapositiva 5 – Índice Global de Madurez (IGM)</w:t>
      </w:r>
    </w:p>
    <w:p>
      <w:pPr>
        <w:pStyle w:val="ListBullet"/>
        <w:keepLines w:val="1"/>
        <w:keepNext w:val="1"/>
        <w:widowControl w:val="1"/>
      </w:pPr>
      <w:r>
        <w:t>Gráfico (velocímetro o barra) con IGM global.</w:t>
      </w:r>
    </w:p>
    <w:p>
      <w:pPr>
        <w:pStyle w:val="ListBullet"/>
        <w:keepLines w:val="1"/>
        <w:keepNext w:val="1"/>
        <w:widowControl w:val="1"/>
      </w:pPr>
      <w:r>
        <w:t>Leyenda con niveles (inicial, básico, intermedio, avanzado).</w:t>
      </w:r>
    </w:p>
    <w:p>
      <w:pPr>
        <w:pStyle w:val="ListBullet"/>
        <w:keepLines w:val="1"/>
        <w:widowControl w:val="1"/>
      </w:pPr>
      <w:r>
        <w:t>Comentario sobre la posición actual y evolución respecto a mediciones anteriores.</w:t>
      </w:r>
    </w:p>
    <w:p>
      <w:pPr>
        <w:pStyle w:val="Heading2"/>
        <w:keepNext/>
        <w:keepLines/>
      </w:pPr>
      <w:r>
        <w:rPr>
          <w:color w:val="0066CC"/>
        </w:rPr>
        <w:t>Diapositiva 6 – Subíndices por dominio FAIR‑STRIDE</w:t>
      </w:r>
    </w:p>
    <w:p>
      <w:pPr>
        <w:pStyle w:val="ListBullet"/>
        <w:keepLines w:val="1"/>
        <w:keepNext w:val="1"/>
        <w:widowControl w:val="1"/>
      </w:pPr>
      <w:r>
        <w:t>Gráfico de barras con Autenticidad, Integridad, No repudio, Confidencialidad, Disponibilidad, Autorización, Arquitectura, Resiliencia, Datos y cultura.</w:t>
      </w:r>
    </w:p>
    <w:p>
      <w:pPr>
        <w:pStyle w:val="ListBullet"/>
        <w:keepLines w:val="1"/>
        <w:widowControl w:val="1"/>
      </w:pPr>
      <w:r>
        <w:t>Señalización de dominios por encima y por debajo del umbral deseable.</w:t>
      </w:r>
    </w:p>
    <w:p>
      <w:pPr>
        <w:pStyle w:val="Heading2"/>
        <w:keepNext/>
        <w:keepLines/>
      </w:pPr>
      <w:r>
        <w:rPr>
          <w:color w:val="0066CC"/>
        </w:rPr>
        <w:t>Diapositiva 7 – Principales métricas económicas FAIR</w:t>
      </w:r>
    </w:p>
    <w:p>
      <w:pPr>
        <w:pStyle w:val="ListBullet"/>
        <w:keepLines w:val="1"/>
        <w:keepNext w:val="1"/>
        <w:widowControl w:val="1"/>
      </w:pPr>
      <w:r>
        <w:t>Tabla o gráfico con pérdidas anuales esperadas por categoría (suplantación, brechas, indisponibilidad, abusos de privilerios, etc.).</w:t>
      </w:r>
    </w:p>
    <w:p>
      <w:pPr>
        <w:pStyle w:val="ListBullet"/>
        <w:keepLines w:val="1"/>
        <w:widowControl w:val="1"/>
      </w:pPr>
      <w:r>
        <w:t>Comentario sobre los top 3 contribuyentes al riesgo agregado.</w:t>
      </w:r>
    </w:p>
    <w:p>
      <w:pPr>
        <w:pStyle w:val="Heading2"/>
        <w:keepNext/>
        <w:keepLines/>
      </w:pPr>
      <w:r>
        <w:rPr>
          <w:color w:val="0066CC"/>
        </w:rPr>
        <w:t>Diapositiva 8 – Calidad de las métricas (PRAGMATIC)</w:t>
      </w:r>
    </w:p>
    <w:p>
      <w:pPr>
        <w:pStyle w:val="ListBullet"/>
        <w:keepLines w:val="1"/>
        <w:keepNext w:val="1"/>
        <w:widowControl w:val="1"/>
      </w:pPr>
      <w:r>
        <w:t>Gráfico radar o barras con score medio PRAGMATIC para las métricas clave.</w:t>
      </w:r>
    </w:p>
    <w:p>
      <w:pPr>
        <w:pStyle w:val="ListBullet"/>
        <w:keepLines w:val="1"/>
        <w:widowControl w:val="1"/>
      </w:pPr>
      <w:r>
        <w:t>Destacar dónde la calidad métrica es débil (por ejemplo, precisión, independencia, oportunidad) y acciones previstas para mejorarla.</w:t>
      </w:r>
    </w:p>
    <w:p>
      <w:pPr>
        <w:pStyle w:val="Heading2"/>
        <w:keepNext/>
        <w:keepLines/>
      </w:pPr>
      <w:r>
        <w:rPr>
          <w:color w:val="0066CC"/>
        </w:rPr>
        <w:t>Diapositiva 9 – Ejemplo de trazabilidad GQM</w:t>
      </w:r>
    </w:p>
    <w:p>
      <w:pPr>
        <w:pStyle w:val="ListBullet"/>
        <w:keepLines w:val="1"/>
        <w:keepNext w:val="1"/>
        <w:widowControl w:val="1"/>
      </w:pPr>
      <w:r>
        <w:t>Un caso ilustrativo: objetivo nacional → preguntas → métricas → decisiones.</w:t>
      </w:r>
    </w:p>
    <w:p>
      <w:pPr>
        <w:pStyle w:val="ListBullet"/>
        <w:keepLines w:val="1"/>
        <w:widowControl w:val="1"/>
      </w:pPr>
      <w:r>
        <w:t>Mostrar cómo una decisión de inversión (ej. despliegue de MFA en servicios esenciales) se apoya en indicadores FAIR y PRAGMATIC.</w:t>
      </w:r>
    </w:p>
    <w:p>
      <w:pPr>
        <w:pStyle w:val="Heading2"/>
        <w:keepNext/>
        <w:keepLines/>
      </w:pPr>
      <w:r>
        <w:rPr>
          <w:color w:val="0066CC"/>
        </w:rPr>
        <w:t>Diapositiva 10 – Iniciativas de mejora y ROI</w:t>
      </w:r>
    </w:p>
    <w:p>
      <w:pPr>
        <w:pStyle w:val="ListBullet"/>
        <w:keepLines w:val="1"/>
        <w:keepNext w:val="1"/>
        <w:widowControl w:val="1"/>
      </w:pPr>
      <w:r>
        <w:t>Tabla con 3‑5 iniciativas priorizadas (Zero Trust, continuidad, PAM, protección de datos).</w:t>
      </w:r>
    </w:p>
    <w:p>
      <w:pPr>
        <w:pStyle w:val="ListBullet"/>
        <w:keepLines w:val="1"/>
        <w:widowControl w:val="1"/>
      </w:pPr>
      <w:r>
        <w:t>Para cada una: coste, reducción de pérdida anual esperada, impacto estimado en IGM, ROI aproximado.</w:t>
      </w:r>
    </w:p>
    <w:p>
      <w:pPr>
        <w:pStyle w:val="Heading2"/>
        <w:keepNext/>
        <w:keepLines/>
      </w:pPr>
      <w:r>
        <w:rPr>
          <w:color w:val="0066CC"/>
        </w:rPr>
        <w:t>Diapositiva 11 – Roadmap de consolidación métrica</w:t>
      </w:r>
    </w:p>
    <w:p>
      <w:pPr>
        <w:pStyle w:val="ListBullet"/>
        <w:keepLines w:val="1"/>
        <w:keepNext w:val="1"/>
        <w:widowControl w:val="1"/>
      </w:pPr>
      <w:r>
        <w:t>Fases para mejorar la calidad de datos, extender FAIR‑STRIDE, refinar GQM y PRAGMATIC.</w:t>
      </w:r>
    </w:p>
    <w:p>
      <w:pPr>
        <w:pStyle w:val="ListBullet"/>
        <w:keepLines w:val="1"/>
        <w:widowControl w:val="1"/>
      </w:pPr>
      <w:r>
        <w:t>Hitos: creación de repositorio nacional de métricas, acuerdos sectoriales, formación, revisiones normativas.</w:t>
      </w:r>
    </w:p>
    <w:p>
      <w:pPr>
        <w:pStyle w:val="Heading2"/>
        <w:keepNext/>
        <w:keepLines/>
      </w:pPr>
      <w:r>
        <w:rPr>
          <w:color w:val="0066CC"/>
        </w:rPr>
        <w:t>Diapositiva 12 – Conclusiones y llamadas a la acción</w:t>
      </w:r>
    </w:p>
    <w:p>
      <w:pPr>
        <w:pStyle w:val="ListBullet"/>
        <w:keepLines w:val="1"/>
        <w:keepNext w:val="1"/>
        <w:widowControl w:val="1"/>
      </w:pPr>
      <w:r>
        <w:t>Síntesis: dónde estamos, qué hemos aprendido, qué falta.</w:t>
      </w:r>
    </w:p>
    <w:p>
      <w:pPr>
        <w:pStyle w:val="ListBullet"/>
        <w:keepLines w:val="1"/>
        <w:keepNext w:val="1"/>
        <w:widowControl w:val="1"/>
      </w:pPr>
      <w:r>
        <w:t>Recomendaciones para Gobierno, sectores regulados y grandes proveedores.</w:t>
      </w:r>
    </w:p>
    <w:p>
      <w:pPr>
        <w:pStyle w:val="ListBullet"/>
        <w:keepLines w:val="1"/>
        <w:widowControl w:val="1"/>
      </w:pPr>
      <w:r>
        <w:t>Propuesta de periodicidad y gobernanza de futuras actualizaciones del informe.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