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Kit GQM + PRAGMATIC para indicadores FAIR‑STRIDE – README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complementa la encuesta FAIR‑STRIDE incorporando el enfoque GQM + PRAGMATIC para el diseño y la gobernanza de indicadores:</w:t>
      </w:r>
    </w:p>
    <w:p>
      <w:pPr>
        <w:pStyle w:val="ListBullet"/>
        <w:keepLines w:val="1"/>
        <w:keepNext w:val="1"/>
        <w:widowControl w:val="1"/>
      </w:pPr>
      <w:r>
        <w:t>Marco integrativo GQM + PRAGMATIC: documento que explica cómo derivar métricas FAIR‑STRIDE desde objetivos nacionales, sectoriales u organizativos.</w:t>
      </w:r>
    </w:p>
    <w:p>
      <w:pPr>
        <w:pStyle w:val="ListBullet"/>
        <w:keepLines w:val="1"/>
        <w:keepNext w:val="1"/>
        <w:widowControl w:val="1"/>
      </w:pPr>
      <w:r>
        <w:t>Matriz de Evaluación PRAGMATIC: tabla con ejemplos de puntuación PRAGMATIC para las principales métricas propuestas.</w:t>
      </w:r>
    </w:p>
    <w:p>
      <w:pPr>
        <w:pStyle w:val="ListBullet"/>
        <w:keepLines w:val="1"/>
        <w:keepNext w:val="1"/>
        <w:widowControl w:val="1"/>
      </w:pPr>
      <w:r>
        <w:t>Narrativa explicativa: texto orientado a responsables de alto nivel que contextualiza el uso del marco.</w:t>
      </w:r>
    </w:p>
    <w:p>
      <w:pPr>
        <w:pStyle w:val="ListBullet"/>
        <w:keepLines w:val="1"/>
        <w:keepNext w:val="1"/>
        <w:widowControl w:val="1"/>
      </w:pPr>
      <w:r>
        <w:t>Mapeo normativo: tabla que vincula objetivos y métricas con requisitos de ISO 27001/27005, NIST CSF/RMF, NIS2 y DORA.</w:t>
      </w:r>
    </w:p>
    <w:p>
      <w:pPr>
        <w:pStyle w:val="ListBullet"/>
        <w:keepLines w:val="1"/>
        <w:keepNext w:val="1"/>
        <w:widowControl w:val="1"/>
      </w:pPr>
      <w:r>
        <w:t>Plantilla de Excel: guía para implementar el cálculo de IGM y ROI incorporando GQM y PRAGMATIC.</w:t>
      </w:r>
    </w:p>
    <w:p>
      <w:pPr>
        <w:pStyle w:val="ListBullet"/>
        <w:keepLines w:val="1"/>
        <w:widowControl w:val="1"/>
      </w:pPr>
      <w:r>
        <w:t>Plantilla de Reporte Ejecutivo: estructura sugerida de presentación para comunicar resultados a niveles directivos y reguladores.</w:t>
      </w:r>
    </w:p>
    <w:p>
      <w:pPr>
        <w:pStyle w:val="Heading2"/>
        <w:keepNext/>
        <w:keepLines/>
      </w:pPr>
      <w:r>
        <w:rPr>
          <w:color w:val="0066CC"/>
        </w:rPr>
        <w:t>2. Público objetivo</w:t>
      </w:r>
    </w:p>
    <w:p>
      <w:r>
        <w:t>El kit está pensado para:</w:t>
      </w:r>
    </w:p>
    <w:p>
      <w:pPr>
        <w:pStyle w:val="ListBullet"/>
        <w:keepLines w:val="1"/>
        <w:keepNext w:val="1"/>
        <w:widowControl w:val="1"/>
      </w:pPr>
      <w:r>
        <w:t>Organismos públicos nacionales y autonómicos responsables de estrategias de ciberseguridad y resiliencia digital.</w:t>
      </w:r>
    </w:p>
    <w:p>
      <w:pPr>
        <w:pStyle w:val="ListBullet"/>
        <w:keepLines w:val="1"/>
        <w:keepNext w:val="1"/>
        <w:widowControl w:val="1"/>
      </w:pPr>
      <w:r>
        <w:t>Reguladores sectoriales (finanzas, energía, sanidad, transporte) que necesitan indicadores comparables.</w:t>
      </w:r>
    </w:p>
    <w:p>
      <w:pPr>
        <w:pStyle w:val="ListBullet"/>
        <w:keepLines w:val="1"/>
        <w:widowControl w:val="1"/>
      </w:pPr>
      <w:r>
        <w:t>Grandes organizaciones que deseen alinear su propia métrica FAIR‑STRIDE con objetivos nacionales.</w:t>
      </w:r>
    </w:p>
    <w:p>
      <w:pPr>
        <w:pStyle w:val="Heading2"/>
        <w:keepNext/>
        <w:keepLines/>
      </w:pPr>
      <w:r>
        <w:rPr>
          <w:color w:val="0066CC"/>
        </w:rPr>
        <w:t>3. Cómo usar este kit junto con la encuesta FAIR‑STRIDE</w:t>
      </w:r>
    </w:p>
    <w:p>
      <w:pPr>
        <w:pStyle w:val="ListNumber"/>
        <w:keepLines w:val="1"/>
        <w:keepNext w:val="1"/>
        <w:widowControl w:val="1"/>
      </w:pPr>
      <w:r>
        <w:t>Utilice la encuesta FAIR‑STRIDE para obtener una visión de madurez organizativa.</w:t>
      </w:r>
    </w:p>
    <w:p>
      <w:pPr>
        <w:pStyle w:val="ListNumber"/>
        <w:keepLines w:val="1"/>
        <w:keepNext w:val="1"/>
        <w:widowControl w:val="1"/>
      </w:pPr>
      <w:r>
        <w:t>A partir de los resultados, identifique los objetivos prioritarios (por ejemplo, mejorar disponibilidad sanitaria, reducir brechas de datos).</w:t>
      </w:r>
    </w:p>
    <w:p>
      <w:pPr>
        <w:pStyle w:val="ListNumber"/>
        <w:keepLines w:val="1"/>
        <w:keepNext w:val="1"/>
        <w:widowControl w:val="1"/>
      </w:pPr>
      <w:r>
        <w:t>Use el Marco GQM + PRAGMATIC para derivar, desde esos objetivos, un conjunto de métricas FAIR‑STRIDE coherentes.</w:t>
      </w:r>
    </w:p>
    <w:p>
      <w:pPr>
        <w:pStyle w:val="ListNumber"/>
        <w:keepLines w:val="1"/>
        <w:keepNext w:val="1"/>
        <w:widowControl w:val="1"/>
      </w:pPr>
      <w:r>
        <w:t>Evalúe las métricas candidatas con la Matriz PRAGMATIC y seleccione las más valiosas.</w:t>
      </w:r>
    </w:p>
    <w:p>
      <w:pPr>
        <w:pStyle w:val="ListNumber"/>
        <w:keepLines w:val="1"/>
        <w:keepNext w:val="1"/>
        <w:widowControl w:val="1"/>
      </w:pPr>
      <w:r>
        <w:t>Implemente la Plantilla de Excel para calcular IGM, subíndices y ROI.</w:t>
      </w:r>
    </w:p>
    <w:p>
      <w:pPr>
        <w:pStyle w:val="ListNumber"/>
        <w:keepLines w:val="1"/>
        <w:widowControl w:val="1"/>
      </w:pPr>
      <w:r>
        <w:t>Presente los resultados mediante la Plantilla de Reporte Ejecutivo, ajustada a su contexto.</w:t>
      </w:r>
    </w:p>
    <w:p>
      <w:pPr>
        <w:pStyle w:val="Heading2"/>
        <w:keepNext/>
        <w:keepLines/>
      </w:pPr>
      <w:r>
        <w:rPr>
          <w:color w:val="0066CC"/>
        </w:rPr>
        <w:t>4. Recomendaciones de implantación</w:t>
      </w:r>
    </w:p>
    <w:p>
      <w:pPr>
        <w:pStyle w:val="ListBullet"/>
        <w:keepLines w:val="1"/>
        <w:keepNext w:val="1"/>
        <w:widowControl w:val="1"/>
      </w:pPr>
      <w:r>
        <w:t>Comience con un conjunto reducido de objetivos y métricas, preferiblemente en un sector o ámbito piloto.</w:t>
      </w:r>
    </w:p>
    <w:p>
      <w:pPr>
        <w:pStyle w:val="ListBullet"/>
        <w:keepLines w:val="1"/>
        <w:keepNext w:val="1"/>
        <w:widowControl w:val="1"/>
      </w:pPr>
      <w:r>
        <w:t>Documente claramente la trazabilidad GQM de cada métrica y haga transparente la puntuación PRAGMATIC.</w:t>
      </w:r>
    </w:p>
    <w:p>
      <w:pPr>
        <w:pStyle w:val="ListBullet"/>
        <w:keepLines w:val="1"/>
        <w:keepNext w:val="1"/>
        <w:widowControl w:val="1"/>
      </w:pPr>
      <w:r>
        <w:t>Revise periódicamente el set de métricas: elimine las que no aportan valor, refuerce las que sí.</w:t>
      </w:r>
    </w:p>
    <w:p>
      <w:pPr>
        <w:pStyle w:val="ListBullet"/>
        <w:keepLines w:val="1"/>
        <w:widowControl w:val="1"/>
      </w:pPr>
      <w:r>
        <w:t>Evite vincular directamente métricas frágiles a incentivos fuertes sin antes evaluar su independencia.</w:t>
      </w:r>
    </w:p>
    <w:p>
      <w:pPr>
        <w:pStyle w:val="Heading2"/>
        <w:keepNext/>
        <w:keepLines/>
      </w:pPr>
      <w:r>
        <w:rPr>
          <w:color w:val="0066CC"/>
        </w:rPr>
        <w:t>5. Mantenimiento y evolución</w:t>
      </w:r>
    </w:p>
    <w:p>
      <w:r>
        <w:t>El paisaje normativo y tecnológico cambia con rapidez. Se recomienda:</w:t>
      </w:r>
    </w:p>
    <w:p>
      <w:pPr>
        <w:pStyle w:val="ListBullet"/>
        <w:keepLines w:val="1"/>
        <w:keepNext w:val="1"/>
        <w:widowControl w:val="1"/>
      </w:pPr>
      <w:r>
        <w:t>Revisar el kit cada 1‑2 años para incorporar cambios regulatorios (NIS2, DORA, etc.) y nuevas buenas prácticas FAIR‑STRIDE.</w:t>
      </w:r>
    </w:p>
    <w:p>
      <w:pPr>
        <w:pStyle w:val="ListBullet"/>
        <w:keepLines w:val="1"/>
        <w:keepNext w:val="1"/>
        <w:widowControl w:val="1"/>
      </w:pPr>
      <w:r>
        <w:t>Ajustar ponderaciones de dominios y métricas según las prioridades nacionales y sectoriales.</w:t>
      </w:r>
    </w:p>
    <w:p>
      <w:pPr>
        <w:pStyle w:val="ListBullet"/>
        <w:keepLines w:val="1"/>
        <w:widowControl w:val="1"/>
      </w:pPr>
      <w:r>
        <w:t>Compartir lecciones aprendidas en foros profesionales, para converger hacia métricas cada vez más comparables y útiles.</w:t>
      </w:r>
    </w:p>
    <w:p>
      <w:pPr>
        <w:pStyle w:val="Heading2"/>
        <w:keepNext/>
        <w:keepLines/>
      </w:pPr>
      <w:r>
        <w:rPr>
          <w:color w:val="0066CC"/>
        </w:rPr>
        <w:t>6. Nota final</w:t>
      </w:r>
    </w:p>
    <w:p>
      <w:r>
        <w:t>Este kit no pretende ofrecer “la” métrica perfecta, sino un marco razonado para discutir qué medimos, por qué lo medimos y qué hacemos con los resultados. El verdadero éxito no está en la cantidad de indicadores, sino en la calidad de las conversaciones que permiten sostener.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