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a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/ 27002 / 27005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/ RMF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DORA / otros marcos UE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1.1-1.4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Contexto organizativo y partes interesadas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Cláusulas 4 y 5, Anexo A 5.1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ID.AM, ID.BE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4-7 (entidades y obligaciones)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2.1-2.3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Marco de gestión de riesgos de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6.1, 8.2, 8.3, ISO 27005 secciones 6-8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ID.RA, ID.GV, RMF pasos de preparación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21; DORA Art. 5-6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3.1-3.4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Cuantificación FAIR y herramientas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6.1, 8.2 (metodologías de riesgo)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ID.RA-3, ID.RA-6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Énfasis en enfoque basado en riesgos (NIS2)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4.1-4.5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Modelado de amenazas STRIDE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A.8.28, A.5.7, ISO 27005 (identificación)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ID.RA; PR.IP-12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riesgos técnicos (NIS2, DORA)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5.1.x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Autenticidad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A.5.15, A.5.17, A.8.2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PR.AC-1, PR.AC-6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Requisitos de autenticación robusta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5.2.x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A.5.10, A.8.9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PR.DS-6, PR.DS-7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Integridad de datos y registros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5.3.x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 repudio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A.8.11, A.8.15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PR.PT-1, PR.DS-1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Evidencias de transacciones y trazabilidad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5.4.x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Confidencialidad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A.5.10, A.5.12, A.8.24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PR.DS-1, PR.AC-3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Protección de datos, brechas y notificación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5.5.x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Disponibilidad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A.5.30, A.8.14, A.8.16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PR.PT-5, PR.IP-9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Resiliencia de servicios esenciales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5.6.x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Autorización y privilegios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A.5.15, A.8.2, A.8.3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PR.AC-4, PR.AC-5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accesos privilegiados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6.1-6.3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Zero Trust y segmentación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A.5.7, A.5.19, A.8.23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PR.AC, PR.PT, DE.CM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Arquitecturas seguras y segmentación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7.1-7.4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Resiliencia, continuidad y seguros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Cláusula 6.1, A.5.30, A.5.31, A.5.32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ID.BE-5, PR.IP-9, RC.IM-1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resiliencia operativa digital, NIS2 Art. 21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8.1-8.3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Datos de incidentes y gobierno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A.5.8, A.5.36, A.8.16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DE.AE, RS.AN, ID.GV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Reporte de incidentes y supervisión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9.1-9.3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Enfoque normativo y actualización de modelos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Cláusula 4, 6,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ID.GV, GV-3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 y revisión continua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10.1-10.4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Talento, cultura y mejora continua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Cláusula 7 (competencia, concienciación)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ID.GV, PR.AT, IM-1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Requisitos de gobernanza y cultura de seguridad</w:t>
            </w:r>
          </w:p>
        </w:tc>
      </w:tr>
    </w:tbl>
    <w:p/>
    <w:p>
      <w:r>
        <w:t>Nota: las referencias son orientativas y deben adaptarse a la versión específica de las normas aplicables y a las interpretaciones de cada organismo regulador.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