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 IGM y ROI</w:t>
      </w:r>
    </w:p>
    <w:p>
      <w:pPr>
        <w:pStyle w:val="Heading2"/>
        <w:keepNext/>
        <w:keepLines/>
      </w:pPr>
      <w:r>
        <w:rPr>
          <w:color w:val="0066CC"/>
        </w:rPr>
        <w:t>1. Estructura general del libro</w:t>
      </w:r>
    </w:p>
    <w:p>
      <w:r>
        <w:t>Se propone un libro de Excel con, al menos, las siguientes hojas:</w:t>
      </w:r>
    </w:p>
    <w:p>
      <w:pPr>
        <w:pStyle w:val="ListBullet"/>
        <w:keepLines w:val="1"/>
        <w:keepNext w:val="1"/>
        <w:widowControl w:val="1"/>
      </w:pPr>
      <w:r>
        <w:t>Respuestas: captura detallada de las respuestas a la encuesta.</w:t>
      </w:r>
    </w:p>
    <w:p>
      <w:pPr>
        <w:pStyle w:val="ListBullet"/>
        <w:keepLines w:val="1"/>
        <w:keepNext w:val="1"/>
        <w:widowControl w:val="1"/>
      </w:pPr>
      <w:r>
        <w:t>Ponderaciones: tabla de asignación de valores numéricos y pesos por pregunta.</w:t>
      </w:r>
    </w:p>
    <w:p>
      <w:pPr>
        <w:pStyle w:val="ListBullet"/>
        <w:keepLines w:val="1"/>
        <w:keepNext w:val="1"/>
        <w:widowControl w:val="1"/>
      </w:pPr>
      <w:r>
        <w:t>IGM: cálculo del Índice Global de Madurez y subíndices.</w:t>
      </w:r>
    </w:p>
    <w:p>
      <w:pPr>
        <w:pStyle w:val="ListBullet"/>
        <w:keepLines w:val="1"/>
        <w:keepNext w:val="1"/>
        <w:widowControl w:val="1"/>
      </w:pPr>
      <w:r>
        <w:t>ROI: modelo de cálculo de retorno de la inversión en iniciativas FAIR‑STRIDE.</w:t>
      </w:r>
    </w:p>
    <w:p>
      <w:pPr>
        <w:pStyle w:val="ListBullet"/>
        <w:keepLines w:val="1"/>
        <w:widowControl w:val="1"/>
      </w:pPr>
      <w:r>
        <w:t>Gráficos: representaciones visuales para el reporte ejecutivo.</w:t>
      </w:r>
    </w:p>
    <w:p>
      <w:pPr>
        <w:pStyle w:val="Heading2"/>
        <w:keepNext/>
        <w:keepLines/>
      </w:pPr>
      <w:r>
        <w:rPr>
          <w:color w:val="0066CC"/>
        </w:rPr>
        <w:t>2. Hoja «Respuestas»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>Org_ID: identificador de la organización o unidad.</w:t>
      </w:r>
    </w:p>
    <w:p>
      <w:pPr>
        <w:pStyle w:val="ListBullet"/>
        <w:keepLines w:val="1"/>
        <w:keepNext w:val="1"/>
        <w:widowControl w:val="1"/>
      </w:pPr>
      <w:r>
        <w:t>Fecha: fecha de cumplimentación de la encuesta.</w:t>
      </w:r>
    </w:p>
    <w:p>
      <w:pPr>
        <w:pStyle w:val="ListBullet"/>
        <w:keepLines w:val="1"/>
        <w:keepNext w:val="1"/>
        <w:widowControl w:val="1"/>
      </w:pPr>
      <w:r>
        <w:t>Pregunta: código de la pregunta (ej. 3.1, 5.4.2, etc.).</w:t>
      </w:r>
    </w:p>
    <w:p>
      <w:pPr>
        <w:pStyle w:val="ListBullet"/>
        <w:keepLines w:val="1"/>
        <w:keepNext w:val="1"/>
        <w:widowControl w:val="1"/>
      </w:pPr>
      <w:r>
        <w:t>Respuesta: código de la respuesta elegida (ej. A, B, C, D).</w:t>
      </w:r>
    </w:p>
    <w:p>
      <w:pPr>
        <w:pStyle w:val="ListBullet"/>
        <w:keepLines w:val="1"/>
        <w:widowControl w:val="1"/>
      </w:pPr>
      <w:r>
        <w:t>Valor: valor numérico asociado a la respuesta (se completará mediante búsqueda).</w:t>
      </w:r>
    </w:p>
    <w:p>
      <w:r>
        <w:t>Cada fila representa la respuesta de una organización a una pregunta concreta. Para múltiples organizaciones, se agregan filas; para comparaciones temporales, se diferencian por fecha.</w:t>
      </w:r>
    </w:p>
    <w:p>
      <w:pPr>
        <w:pStyle w:val="Heading2"/>
        <w:keepNext/>
        <w:keepLines/>
      </w:pPr>
      <w:r>
        <w:rPr>
          <w:color w:val="0066CC"/>
        </w:rPr>
        <w:t>3. Hoja «Ponderaciones»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>Pregunta: código de la pregunta.</w:t>
      </w:r>
    </w:p>
    <w:p>
      <w:pPr>
        <w:pStyle w:val="ListBullet"/>
        <w:keepLines w:val="1"/>
        <w:keepNext w:val="1"/>
        <w:widowControl w:val="1"/>
      </w:pPr>
      <w:r>
        <w:t>Respuesta: código de la respuesta (A, B, C, etc., mapeadas a las opciones reales).</w:t>
      </w:r>
    </w:p>
    <w:p>
      <w:pPr>
        <w:pStyle w:val="ListBullet"/>
        <w:keepLines w:val="1"/>
        <w:keepNext w:val="1"/>
        <w:widowControl w:val="1"/>
      </w:pPr>
      <w:r>
        <w:t>Valor: puntuación base (por ejemplo, de 0 a 4).</w:t>
      </w:r>
    </w:p>
    <w:p>
      <w:pPr>
        <w:pStyle w:val="ListBullet"/>
        <w:keepLines w:val="1"/>
        <w:keepNext w:val="1"/>
        <w:widowControl w:val="1"/>
      </w:pPr>
      <w:r>
        <w:t>Dominio: categoría de madurez (FAIR, STRIDE, Autenticidad, Integridad, etc.).</w:t>
      </w:r>
    </w:p>
    <w:p>
      <w:pPr>
        <w:pStyle w:val="ListBullet"/>
        <w:keepLines w:val="1"/>
        <w:widowControl w:val="1"/>
      </w:pPr>
      <w:r>
        <w:t>Peso: peso relativo de la pregunta en el cálculo del subíndice del dominio.</w:t>
      </w:r>
    </w:p>
    <w:p>
      <w:r>
        <w:t>Ejemplo de escala de valores:</w:t>
      </w:r>
    </w:p>
    <w:p>
      <w:pPr>
        <w:pStyle w:val="ListBullet"/>
        <w:keepLines w:val="1"/>
        <w:keepNext w:val="1"/>
        <w:widowControl w:val="1"/>
      </w:pPr>
      <w:r>
        <w:t>Opción que refleja máxima madurez: Valor = 4.</w:t>
      </w:r>
    </w:p>
    <w:p>
      <w:pPr>
        <w:pStyle w:val="ListBullet"/>
        <w:keepLines w:val="1"/>
        <w:keepNext w:val="1"/>
        <w:widowControl w:val="1"/>
      </w:pPr>
      <w:r>
        <w:t>Opción alta madurez: Valor = 3.</w:t>
      </w:r>
    </w:p>
    <w:p>
      <w:pPr>
        <w:pStyle w:val="ListBullet"/>
        <w:keepLines w:val="1"/>
        <w:keepNext w:val="1"/>
        <w:widowControl w:val="1"/>
      </w:pPr>
      <w:r>
        <w:t>Opción intermedia: Valor = 2.</w:t>
      </w:r>
    </w:p>
    <w:p>
      <w:pPr>
        <w:pStyle w:val="ListBullet"/>
        <w:keepLines w:val="1"/>
        <w:keepNext w:val="1"/>
        <w:widowControl w:val="1"/>
      </w:pPr>
      <w:r>
        <w:t>Opción baja: Valor = 1.</w:t>
      </w:r>
    </w:p>
    <w:p>
      <w:pPr>
        <w:pStyle w:val="ListBullet"/>
        <w:keepLines w:val="1"/>
        <w:widowControl w:val="1"/>
      </w:pPr>
      <w:r>
        <w:t>Opción que describe ausencia de práctica: Valor = 0.</w:t>
      </w:r>
    </w:p>
    <w:p>
      <w:pPr>
        <w:pStyle w:val="Heading2"/>
        <w:keepNext/>
        <w:keepLines/>
      </w:pPr>
      <w:r>
        <w:rPr>
          <w:color w:val="0066CC"/>
        </w:rPr>
        <w:t>4. Hoja «IGM»</w:t>
      </w:r>
    </w:p>
    <w:p>
      <w:r>
        <w:t>En esta hoja se calculan:</w:t>
      </w:r>
    </w:p>
    <w:p>
      <w:pPr>
        <w:pStyle w:val="ListBullet"/>
        <w:keepLines w:val="1"/>
        <w:keepNext w:val="1"/>
        <w:widowControl w:val="1"/>
      </w:pPr>
      <w:r>
        <w:t>Subíndices por dominio: IGM_Dominio = (Σ Valor * Peso) / (Σ Peso) para todas las preguntas asociadas a cada dominio.</w:t>
      </w:r>
    </w:p>
    <w:p>
      <w:pPr>
        <w:pStyle w:val="ListBullet"/>
        <w:keepLines w:val="1"/>
        <w:widowControl w:val="1"/>
      </w:pPr>
      <w:r>
        <w:t>Índice Global de Madurez (IGM): media ponderada de los subíndices por dominio.</w:t>
      </w:r>
    </w:p>
    <w:p>
      <w:r>
        <w:t>Ejemplo de fórmula (en pseudocódigo de Excel):</w:t>
      </w:r>
    </w:p>
    <w:p>
      <w:pPr>
        <w:pStyle w:val="ListBullet"/>
        <w:keepLines w:val="1"/>
        <w:keepNext w:val="1"/>
        <w:widowControl w:val="1"/>
      </w:pPr>
      <w:r>
        <w:t>Supongamos que en Respuestas!A:E están las columnas mencionadas y en Ponderaciones!A:E las ponderaciones.</w:t>
      </w:r>
    </w:p>
    <w:p>
      <w:pPr>
        <w:pStyle w:val="ListBullet"/>
        <w:keepLines w:val="1"/>
        <w:keepNext w:val="1"/>
        <w:widowControl w:val="1"/>
      </w:pPr>
      <w:r>
        <w:t>Usar BUSCARV o ÍNDICE/COINCIDIR para trasladar Valor y Peso a la hoja Respuestas.</w:t>
      </w:r>
    </w:p>
    <w:p>
      <w:pPr>
        <w:pStyle w:val="ListBullet"/>
        <w:keepLines w:val="1"/>
        <w:keepNext w:val="1"/>
        <w:widowControl w:val="1"/>
      </w:pPr>
      <w:r>
        <w:t>En IGM, para un dominio concreto:</w:t>
      </w:r>
    </w:p>
    <w:p>
      <w:pPr>
        <w:pStyle w:val="ListBullet"/>
        <w:keepLines w:val="1"/>
        <w:widowControl w:val="1"/>
      </w:pPr>
      <w:r>
        <w:t>IGM_Autenticidad = SUMIFS(Respuestas!Valor*Respuestas!Peso, Respuestas!Dominio, "Autenticidad") / SUMIFS(Respuestas!Peso, Respuestas!Dominio, "Autenticidad") (adaptando la fórmula a Excel con columnas auxiliares).</w:t>
      </w:r>
    </w:p>
    <w:p>
      <w:r>
        <w:t>El IGM global puede ser la media ponderada de los subíndices, con pesos por dominio si se desea enfatizar unos sobre otros.</w:t>
      </w:r>
    </w:p>
    <w:p>
      <w:pPr>
        <w:pStyle w:val="Heading2"/>
        <w:keepNext/>
        <w:keepLines/>
      </w:pPr>
      <w:r>
        <w:rPr>
          <w:color w:val="0066CC"/>
        </w:rPr>
        <w:t>5. Hoja «ROI»</w:t>
      </w:r>
    </w:p>
    <w:p>
      <w:r>
        <w:t>El objetivo de esta hoja es conectar cambios en el IGM con estimaciones de reducción de pérdida anual esperada, usando principios FAIR.</w:t>
      </w:r>
    </w:p>
    <w:p>
      <w:r>
        <w:t>Columnas sugeridas para una tabla de iniciativas:</w:t>
      </w:r>
    </w:p>
    <w:p>
      <w:pPr>
        <w:pStyle w:val="ListBullet"/>
        <w:keepLines w:val="1"/>
        <w:keepNext w:val="1"/>
        <w:widowControl w:val="1"/>
      </w:pPr>
      <w:r>
        <w:t>Iniciativa_ID: identificador de la iniciativa (ej. «ZT‑Segmentación‑Red»).</w:t>
      </w:r>
    </w:p>
    <w:p>
      <w:pPr>
        <w:pStyle w:val="ListBullet"/>
        <w:keepLines w:val="1"/>
        <w:keepNext w:val="1"/>
        <w:widowControl w:val="1"/>
      </w:pPr>
      <w:r>
        <w:t>Dominio_Principal: dominio FAIR‑STRIDE al que se dirige (ej. Disponibilidad, Autorización).</w:t>
      </w:r>
    </w:p>
    <w:p>
      <w:pPr>
        <w:pStyle w:val="ListBullet"/>
        <w:keepLines w:val="1"/>
        <w:keepNext w:val="1"/>
        <w:widowControl w:val="1"/>
      </w:pPr>
      <w:r>
        <w:t>Coste_Inicial: inversión inicial estimada.</w:t>
      </w:r>
    </w:p>
    <w:p>
      <w:pPr>
        <w:pStyle w:val="ListBullet"/>
        <w:keepLines w:val="1"/>
        <w:keepNext w:val="1"/>
        <w:widowControl w:val="1"/>
      </w:pPr>
      <w:r>
        <w:t>Coste_Anual: costes de operación y mantenimiento.</w:t>
      </w:r>
    </w:p>
    <w:p>
      <w:pPr>
        <w:pStyle w:val="ListBullet"/>
        <w:keepLines w:val="1"/>
        <w:keepNext w:val="1"/>
        <w:widowControl w:val="1"/>
      </w:pPr>
      <w:r>
        <w:t>Pérdida_Actual: pérdida anual esperada antes de la iniciativa (media o percentil elegido).</w:t>
      </w:r>
    </w:p>
    <w:p>
      <w:pPr>
        <w:pStyle w:val="ListBullet"/>
        <w:keepLines w:val="1"/>
        <w:keepNext w:val="1"/>
        <w:widowControl w:val="1"/>
      </w:pPr>
      <w:r>
        <w:t>Pérdida_Prevista: pérdida anual esperada después de la iniciativa.</w:t>
      </w:r>
    </w:p>
    <w:p>
      <w:pPr>
        <w:pStyle w:val="ListBullet"/>
        <w:keepLines w:val="1"/>
        <w:keepNext w:val="1"/>
        <w:widowControl w:val="1"/>
      </w:pPr>
      <w:r>
        <w:t>Reducción_Pérdida: =Pérdida_Actual - Pérdida_Prevista.</w:t>
      </w:r>
    </w:p>
    <w:p>
      <w:pPr>
        <w:pStyle w:val="ListBullet"/>
        <w:keepLines w:val="1"/>
        <w:keepNext w:val="1"/>
        <w:widowControl w:val="1"/>
      </w:pPr>
      <w:r>
        <w:t>Horizonte_Anios: horizonte temporal analizado (por ejemplo, 3 años).</w:t>
      </w:r>
    </w:p>
    <w:p>
      <w:pPr>
        <w:pStyle w:val="ListBullet"/>
        <w:keepLines w:val="1"/>
        <w:keepNext w:val="1"/>
        <w:widowControl w:val="1"/>
      </w:pPr>
      <w:r>
        <w:t>Beneficio_Total: =Reducción_Pérdida * Horizonte_Anios.</w:t>
      </w:r>
    </w:p>
    <w:p>
      <w:pPr>
        <w:pStyle w:val="ListBullet"/>
        <w:keepLines w:val="1"/>
        <w:keepNext w:val="1"/>
        <w:widowControl w:val="1"/>
      </w:pPr>
      <w:r>
        <w:t>Coste_Total: =Coste_Inicial + Coste_Anual * Horizonte_Anios.</w:t>
      </w:r>
    </w:p>
    <w:p>
      <w:pPr>
        <w:pStyle w:val="ListBullet"/>
        <w:keepLines w:val="1"/>
        <w:keepNext w:val="1"/>
        <w:widowControl w:val="1"/>
      </w:pPr>
      <w:r>
        <w:t>ROI_%: =(Beneficio_Total - Coste_Total) / Coste_Total.</w:t>
      </w:r>
    </w:p>
    <w:p>
      <w:pPr>
        <w:pStyle w:val="ListBullet"/>
        <w:keepLines w:val="1"/>
        <w:widowControl w:val="1"/>
      </w:pPr>
      <w:r>
        <w:t>Payback_Anios: =Coste_Total / Reducción_Pérdida (si Reducción_Pérdida &gt; 0).</w:t>
      </w:r>
    </w:p>
    <w:p>
      <w:r>
        <w:t>La plantilla puede incluir, además, escenarios de sensibilidad usando diferentes percentiles de pérdida (p. ej., 50, 90, 95) y gráficos que muestren la evolución del perfil de riesgo antes y después de la iniciativa.</w:t>
      </w:r>
    </w:p>
    <w:p>
      <w:pPr>
        <w:pStyle w:val="Heading2"/>
        <w:keepNext/>
        <w:keepLines/>
      </w:pPr>
      <w:r>
        <w:rPr>
          <w:color w:val="0066CC"/>
        </w:rPr>
        <w:t>6. Hoja «Gráficos»</w:t>
      </w:r>
    </w:p>
    <w:p>
      <w:r>
        <w:t>Se recomienda incluir:</w:t>
      </w:r>
    </w:p>
    <w:p>
      <w:pPr>
        <w:pStyle w:val="ListBullet"/>
        <w:keepLines w:val="1"/>
        <w:keepNext w:val="1"/>
        <w:widowControl w:val="1"/>
      </w:pPr>
      <w:r>
        <w:t>Gráfico de barras del IGM y subíndices por dominio.</w:t>
      </w:r>
    </w:p>
    <w:p>
      <w:pPr>
        <w:pStyle w:val="ListBullet"/>
        <w:keepLines w:val="1"/>
        <w:keepNext w:val="1"/>
        <w:widowControl w:val="1"/>
      </w:pPr>
      <w:r>
        <w:t>Serie temporal del IGM para la organización (si hay varias mediciones en el tiempo).</w:t>
      </w:r>
    </w:p>
    <w:p>
      <w:pPr>
        <w:pStyle w:val="ListBullet"/>
        <w:keepLines w:val="1"/>
        <w:keepNext w:val="1"/>
        <w:widowControl w:val="1"/>
      </w:pPr>
      <w:r>
        <w:t>Gráficos de dispersión que relacionen el IGM con métricas de incidentes reales (número de incidentes, coste total, etc.).</w:t>
      </w:r>
    </w:p>
    <w:p>
      <w:pPr>
        <w:pStyle w:val="ListBullet"/>
        <w:keepLines w:val="1"/>
        <w:widowControl w:val="1"/>
      </w:pPr>
      <w:r>
        <w:t>Gráficos de barras apiladas para mostrar el impacto relativo de distintas iniciativas en la reducción de pérdida.</w:t>
      </w:r>
    </w:p>
    <w:p>
      <w:r>
        <w:t>Estos gráficos alimentarán el reporte ejecutivo que se describe en la plantilla de PowerPoint.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