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(para PowerPoint)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 sugerido: «FAIR‑STRIDE: Diagnóstico de Madurez y Oportunidades».</w:t>
      </w:r>
    </w:p>
    <w:p>
      <w:pPr>
        <w:pStyle w:val="ListBullet"/>
        <w:keepLines w:val="1"/>
        <w:keepNext w:val="1"/>
        <w:widowControl w:val="1"/>
      </w:pPr>
      <w:r>
        <w:t>Subtítulo: Nombre de la organización, fecha, unidad responsable.</w:t>
      </w:r>
    </w:p>
    <w:p>
      <w:pPr>
        <w:pStyle w:val="ListBullet"/>
        <w:keepLines w:val="1"/>
        <w:widowControl w:val="1"/>
      </w:pPr>
      <w:r>
        <w:t>Espacio para logotipos y una breve cita sobre la importancia de la resiliencia digital.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3‑5 mensajes clave sobre el nivel de madurez FAIR‑STRIDE.</w:t>
      </w:r>
    </w:p>
    <w:p>
      <w:pPr>
        <w:pStyle w:val="ListBullet"/>
        <w:keepLines w:val="1"/>
        <w:keepNext w:val="1"/>
        <w:widowControl w:val="1"/>
      </w:pPr>
      <w:r>
        <w:t>IGM global (valor y breve interpretación).</w:t>
      </w:r>
    </w:p>
    <w:p>
      <w:pPr>
        <w:pStyle w:val="ListBullet"/>
        <w:keepLines w:val="1"/>
        <w:widowControl w:val="1"/>
      </w:pPr>
      <w:r>
        <w:t>2‑3 hallazgos más relevantes (por ejemplo, dominios fuertes y débiles).</w:t>
      </w:r>
    </w:p>
    <w:p>
      <w:pPr>
        <w:pStyle w:val="Heading2"/>
        <w:keepNext/>
        <w:keepLines/>
      </w:pPr>
      <w:r>
        <w:rPr>
          <w:color w:val="0066CC"/>
        </w:rPr>
        <w:t>Diapositiva 3 – Enfoque metodológico</w:t>
      </w:r>
    </w:p>
    <w:p>
      <w:pPr>
        <w:pStyle w:val="ListBullet"/>
        <w:keepLines w:val="1"/>
        <w:keepNext w:val="1"/>
        <w:widowControl w:val="1"/>
      </w:pPr>
      <w:r>
        <w:t>Esquema simple que muestre la combinación de FAIR (cuantificación económica) y STRIDE (modelado de amenazas).</w:t>
      </w:r>
    </w:p>
    <w:p>
      <w:pPr>
        <w:pStyle w:val="ListBullet"/>
        <w:keepLines w:val="1"/>
        <w:keepNext w:val="1"/>
        <w:widowControl w:val="1"/>
      </w:pPr>
      <w:r>
        <w:t>Referencia a la encuesta, número de preguntas y participantes.</w:t>
      </w:r>
    </w:p>
    <w:p>
      <w:pPr>
        <w:pStyle w:val="ListBullet"/>
        <w:keepLines w:val="1"/>
        <w:widowControl w:val="1"/>
      </w:pPr>
      <w:r>
        <w:t>Nota sobre el carácter orientativo y evolutivo del modelo.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>Gráfico de velocímetro o barra destacando el IGM.</w:t>
      </w:r>
    </w:p>
    <w:p>
      <w:pPr>
        <w:pStyle w:val="ListBullet"/>
        <w:keepLines w:val="1"/>
        <w:keepNext w:val="1"/>
        <w:widowControl w:val="1"/>
      </w:pPr>
      <w:r>
        <w:t>Rango de referencia (inicial, básico, intermedio, avanzado).</w:t>
      </w:r>
    </w:p>
    <w:p>
      <w:pPr>
        <w:pStyle w:val="ListBullet"/>
        <w:keepLines w:val="1"/>
        <w:widowControl w:val="1"/>
      </w:pPr>
      <w:r>
        <w:t>Comentarios breves sobre la posición actual.</w:t>
      </w:r>
    </w:p>
    <w:p>
      <w:pPr>
        <w:pStyle w:val="Heading2"/>
        <w:keepNext/>
        <w:keepLines/>
      </w:pPr>
      <w:r>
        <w:rPr>
          <w:color w:val="0066CC"/>
        </w:rPr>
        <w:t>Diapositiva 5 – Subíndices por dominio</w:t>
      </w:r>
    </w:p>
    <w:p>
      <w:pPr>
        <w:pStyle w:val="ListBullet"/>
        <w:keepLines w:val="1"/>
        <w:keepNext w:val="1"/>
        <w:widowControl w:val="1"/>
      </w:pPr>
      <w:r>
        <w:t>Gráfico de barras con subíndices: FAIR, STRIDE, Autenticidad, Integridad, No repudio, Confidencialidad, Disponibilidad, Autorización, Arquitectura, Resiliencia, Datos y cultura.</w:t>
      </w:r>
    </w:p>
    <w:p>
      <w:pPr>
        <w:pStyle w:val="ListBullet"/>
        <w:keepLines w:val="1"/>
        <w:widowControl w:val="1"/>
      </w:pPr>
      <w:r>
        <w:t>Comentario sobre dominios por encima y por debajo de la media.</w:t>
      </w:r>
    </w:p>
    <w:p>
      <w:pPr>
        <w:pStyle w:val="Heading2"/>
        <w:keepNext/>
        <w:keepLines/>
      </w:pPr>
      <w:r>
        <w:rPr>
          <w:color w:val="0066CC"/>
        </w:rPr>
        <w:t>Diapositiva 6 – Panorama de amenazas y modelado STRIDE</w:t>
      </w:r>
    </w:p>
    <w:p>
      <w:pPr>
        <w:pStyle w:val="ListBullet"/>
        <w:keepLines w:val="1"/>
        <w:keepNext w:val="1"/>
        <w:widowControl w:val="1"/>
      </w:pPr>
      <w:r>
        <w:t>Resumen del grado de adopción de modelado de amenazas.</w:t>
      </w:r>
    </w:p>
    <w:p>
      <w:pPr>
        <w:pStyle w:val="ListBullet"/>
        <w:keepLines w:val="1"/>
        <w:keepNext w:val="1"/>
        <w:widowControl w:val="1"/>
      </w:pPr>
      <w:r>
        <w:t>Lista sintética de metodologías utilizadas (STRIDE, PASTA, etc.).</w:t>
      </w:r>
    </w:p>
    <w:p>
      <w:pPr>
        <w:pStyle w:val="ListBullet"/>
        <w:keepLines w:val="1"/>
        <w:widowControl w:val="1"/>
      </w:pPr>
      <w:r>
        <w:t>Comentario sobre la integración (o ausencia) entre STRIDE y cuantificación FAIR.</w:t>
      </w:r>
    </w:p>
    <w:p>
      <w:pPr>
        <w:pStyle w:val="Heading2"/>
        <w:keepNext/>
        <w:keepLines/>
      </w:pPr>
      <w:r>
        <w:rPr>
          <w:color w:val="0066CC"/>
        </w:rPr>
        <w:t>Diapositiva 7 – Indicadores por propiedad de seguridad</w:t>
      </w:r>
    </w:p>
    <w:p>
      <w:pPr>
        <w:pStyle w:val="ListBullet"/>
        <w:keepLines w:val="1"/>
        <w:keepNext w:val="1"/>
        <w:widowControl w:val="1"/>
      </w:pPr>
      <w:r>
        <w:t>Tabla visual con las seis propiedades clave (autenticidad, integridad, no repudio, confidencialidad, disponibilidad y autorización) y su nivel de madurez.</w:t>
      </w:r>
    </w:p>
    <w:p>
      <w:pPr>
        <w:pStyle w:val="ListBullet"/>
        <w:keepLines w:val="1"/>
        <w:widowControl w:val="1"/>
      </w:pPr>
      <w:r>
        <w:t>Ejemplos de indicadores existentes y ausentes.</w:t>
      </w:r>
    </w:p>
    <w:p>
      <w:pPr>
        <w:pStyle w:val="Heading2"/>
        <w:keepNext/>
        <w:keepLines/>
      </w:pPr>
      <w:r>
        <w:rPr>
          <w:color w:val="0066CC"/>
        </w:rPr>
        <w:t>Diapositiva 8 – Arquitectura Zero Trust y controles</w:t>
      </w:r>
    </w:p>
    <w:p>
      <w:pPr>
        <w:pStyle w:val="ListBullet"/>
        <w:keepLines w:val="1"/>
        <w:keepNext w:val="1"/>
        <w:widowControl w:val="1"/>
      </w:pPr>
      <w:r>
        <w:t>Resumen del nivel de adopción de Zero Trust.</w:t>
      </w:r>
    </w:p>
    <w:p>
      <w:pPr>
        <w:pStyle w:val="ListBullet"/>
        <w:keepLines w:val="1"/>
        <w:keepNext w:val="1"/>
        <w:widowControl w:val="1"/>
      </w:pPr>
      <w:r>
        <w:t>Principales proyectos de segmentación, control de acceso y monitoreo.</w:t>
      </w:r>
    </w:p>
    <w:p>
      <w:pPr>
        <w:pStyle w:val="ListBullet"/>
        <w:keepLines w:val="1"/>
        <w:widowControl w:val="1"/>
      </w:pPr>
      <w:r>
        <w:t>Relación entre decisiones de arquitectura y resultados de riesgo cuantificado.</w:t>
      </w:r>
    </w:p>
    <w:p>
      <w:pPr>
        <w:pStyle w:val="Heading2"/>
        <w:keepNext/>
        <w:keepLines/>
      </w:pPr>
      <w:r>
        <w:rPr>
          <w:color w:val="0066CC"/>
        </w:rPr>
        <w:t>Diapositiva 9 – Resiliencia y continuidad de negocio</w:t>
      </w:r>
    </w:p>
    <w:p>
      <w:pPr>
        <w:pStyle w:val="ListBullet"/>
        <w:keepLines w:val="1"/>
        <w:keepNext w:val="1"/>
        <w:widowControl w:val="1"/>
      </w:pPr>
      <w:r>
        <w:t>Nivel de integración entre continuidad y ciberseguridad.</w:t>
      </w:r>
    </w:p>
    <w:p>
      <w:pPr>
        <w:pStyle w:val="ListBullet"/>
        <w:keepLines w:val="1"/>
        <w:keepNext w:val="1"/>
        <w:widowControl w:val="1"/>
      </w:pPr>
      <w:r>
        <w:t>Principales métricas de disponibilidad y resultados asociados.</w:t>
      </w:r>
    </w:p>
    <w:p>
      <w:pPr>
        <w:pStyle w:val="ListBullet"/>
        <w:keepLines w:val="1"/>
        <w:widowControl w:val="1"/>
      </w:pPr>
      <w:r>
        <w:t>Situación respecto a seguros cibernéticos.</w:t>
      </w:r>
    </w:p>
    <w:p>
      <w:pPr>
        <w:pStyle w:val="Heading2"/>
        <w:keepNext/>
        <w:keepLines/>
      </w:pPr>
      <w:r>
        <w:rPr>
          <w:color w:val="0066CC"/>
        </w:rPr>
        <w:t>Diapositiva 10 – Oportunidades de mejora prioritarias</w:t>
      </w:r>
    </w:p>
    <w:p>
      <w:pPr>
        <w:pStyle w:val="ListBullet"/>
        <w:keepLines w:val="1"/>
        <w:keepNext w:val="1"/>
        <w:widowControl w:val="1"/>
      </w:pPr>
      <w:r>
        <w:t>3‑5 iniciativas priorizadas en función del impacto en IGM y reducción de pérdida.</w:t>
      </w:r>
    </w:p>
    <w:p>
      <w:pPr>
        <w:pStyle w:val="ListBullet"/>
        <w:keepLines w:val="1"/>
        <w:widowControl w:val="1"/>
      </w:pPr>
      <w:r>
        <w:t>Indicadores básicos de ROI por iniciativa (pueden apoyarse en la hoja «ROI» de la plantilla).</w:t>
      </w:r>
    </w:p>
    <w:p>
      <w:pPr>
        <w:pStyle w:val="Heading2"/>
        <w:keepNext/>
        <w:keepLines/>
      </w:pPr>
      <w:r>
        <w:rPr>
          <w:color w:val="0066CC"/>
        </w:rPr>
        <w:t>Diapositiva 11 – Roadmap a 2‑3 años</w:t>
      </w:r>
    </w:p>
    <w:p>
      <w:pPr>
        <w:pStyle w:val="ListBullet"/>
        <w:keepLines w:val="1"/>
        <w:keepNext w:val="1"/>
        <w:widowControl w:val="1"/>
      </w:pPr>
      <w:r>
        <w:t>Línea temporal con hitos principales de evolución FAIR‑STRIDE.</w:t>
      </w:r>
    </w:p>
    <w:p>
      <w:pPr>
        <w:pStyle w:val="ListBullet"/>
        <w:keepLines w:val="1"/>
        <w:widowControl w:val="1"/>
      </w:pPr>
      <w:r>
        <w:t>Actividades clave: mejora de datos, formación, despliegue de herramientas, revisión de modelos.</w:t>
      </w:r>
    </w:p>
    <w:p>
      <w:pPr>
        <w:pStyle w:val="Heading2"/>
        <w:keepNext/>
        <w:keepLines/>
      </w:pPr>
      <w:r>
        <w:rPr>
          <w:color w:val="0066CC"/>
        </w:rPr>
        <w:t>Diapositiva 12 – Conclusiones y próximos pasos</w:t>
      </w:r>
    </w:p>
    <w:p>
      <w:pPr>
        <w:pStyle w:val="ListBullet"/>
        <w:keepLines w:val="1"/>
        <w:keepNext w:val="1"/>
        <w:widowControl w:val="1"/>
      </w:pPr>
      <w:r>
        <w:t>Síntesis de la situación actual.</w:t>
      </w:r>
    </w:p>
    <w:p>
      <w:pPr>
        <w:pStyle w:val="ListBullet"/>
        <w:keepLines w:val="1"/>
        <w:keepNext w:val="1"/>
        <w:widowControl w:val="1"/>
      </w:pPr>
      <w:r>
        <w:t>Recomendaciones de gobierno (patrocinio ejecutivo, comité de riesgos, etc.).</w:t>
      </w:r>
    </w:p>
    <w:p>
      <w:pPr>
        <w:pStyle w:val="ListBullet"/>
        <w:keepLines w:val="1"/>
        <w:widowControl w:val="1"/>
      </w:pPr>
      <w:r>
        <w:t>Invitación a revisión periódica del diagnóstico.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