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Kit de Encuesta FAIR‑STRIDE – README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incluye los elementos necesarios para diseñar, administrar y aprovechar una encuesta de madurez FAIR‑STRIDE en organizaciones públicas y privadas:</w:t>
      </w:r>
    </w:p>
    <w:p>
      <w:pPr>
        <w:pStyle w:val="ListBullet"/>
        <w:keepLines w:val="1"/>
        <w:keepNext w:val="1"/>
        <w:widowControl w:val="1"/>
      </w:pPr>
      <w:r>
        <w:t>(a) Modelo de encuesta integral: cuestionario detallado en formato Markdown con las preguntas a formular.</w:t>
      </w:r>
    </w:p>
    <w:p>
      <w:pPr>
        <w:pStyle w:val="ListBullet"/>
        <w:keepLines w:val="1"/>
        <w:keepNext w:val="1"/>
        <w:widowControl w:val="1"/>
      </w:pPr>
      <w:r>
        <w:t>(b) Guía metodológica detallada: documento que explica el propósito, el alcance y el uso recomendado de la encuesta.</w:t>
      </w:r>
    </w:p>
    <w:p>
      <w:pPr>
        <w:pStyle w:val="ListBullet"/>
        <w:keepLines w:val="1"/>
        <w:keepNext w:val="1"/>
        <w:widowControl w:val="1"/>
      </w:pPr>
      <w:r>
        <w:t>(c) Narrativa explicativa: texto de acompañamiento que contextualiza la encuesta y facilita su adopción por la Alta Dirección.</w:t>
      </w:r>
    </w:p>
    <w:p>
      <w:pPr>
        <w:pStyle w:val="ListBullet"/>
        <w:keepLines w:val="1"/>
        <w:keepNext w:val="1"/>
        <w:widowControl w:val="1"/>
      </w:pPr>
      <w:r>
        <w:t>(d) Mapeo normativo: tabla que vincula cada bloque de preguntas con requisitos de ISO 27001/27005, NIST CSF/RMF y marcos europeos como NIS2 y DORA.</w:t>
      </w:r>
    </w:p>
    <w:p>
      <w:pPr>
        <w:pStyle w:val="ListBullet"/>
        <w:keepLines w:val="1"/>
        <w:keepNext w:val="1"/>
        <w:widowControl w:val="1"/>
      </w:pPr>
      <w:r>
        <w:t>(e) Plantilla de Excel para IGM y ROI: descripción técnica para implementar una hoja de cálculo que calcule el Índice Global de Madurez y el ROI de iniciativas de mejora.</w:t>
      </w:r>
    </w:p>
    <w:p>
      <w:pPr>
        <w:pStyle w:val="ListBullet"/>
        <w:keepLines w:val="1"/>
        <w:widowControl w:val="1"/>
      </w:pPr>
      <w:r>
        <w:t>(f) Plantilla de Reporte Ejecutivo: esquema para construir una presentación (PowerPoint u otra herramienta) con los resultados de la encuesta.</w:t>
      </w:r>
    </w:p>
    <w:p>
      <w:pPr>
        <w:pStyle w:val="Heading2"/>
        <w:keepNext/>
        <w:keepLines/>
      </w:pPr>
      <w:r>
        <w:rPr>
          <w:color w:val="0066CC"/>
        </w:rPr>
        <w:t>2. Destinatarios</w:t>
      </w:r>
    </w:p>
    <w:p>
      <w:r>
        <w:t>El kit está pensado para:</w:t>
      </w:r>
    </w:p>
    <w:p>
      <w:pPr>
        <w:pStyle w:val="ListBullet"/>
        <w:keepLines w:val="1"/>
        <w:keepNext w:val="1"/>
        <w:widowControl w:val="1"/>
      </w:pPr>
      <w:r>
        <w:t>Equipos de ciberseguridad y gestión de riesgos que buscan introducir o consolidar la cuantificación económica del riesgo basada en FAIR.</w:t>
      </w:r>
    </w:p>
    <w:p>
      <w:pPr>
        <w:pStyle w:val="ListBullet"/>
        <w:keepLines w:val="1"/>
        <w:keepNext w:val="1"/>
        <w:widowControl w:val="1"/>
      </w:pPr>
      <w:r>
        <w:t>Responsables de arquitectura, continuidad y resiliencia interesados en conectar sus decisiones técnicas con indicadores de riesgo y de retorno.</w:t>
      </w:r>
    </w:p>
    <w:p>
      <w:pPr>
        <w:pStyle w:val="ListBullet"/>
        <w:keepLines w:val="1"/>
        <w:widowControl w:val="1"/>
      </w:pPr>
      <w:r>
        <w:t>Direcciones de negocio y órganos de gobierno que desean disponer de una visión estructurada y comparable del nivel de madurez.</w:t>
      </w:r>
    </w:p>
    <w:p>
      <w:pPr>
        <w:pStyle w:val="Heading2"/>
        <w:keepNext/>
        <w:keepLines/>
      </w:pPr>
      <w:r>
        <w:rPr>
          <w:color w:val="0066CC"/>
        </w:rPr>
        <w:t>3. Cómo empezar</w:t>
      </w:r>
    </w:p>
    <w:p>
      <w:pPr>
        <w:pStyle w:val="ListNumber"/>
        <w:keepLines w:val="1"/>
        <w:keepNext w:val="1"/>
        <w:widowControl w:val="1"/>
      </w:pPr>
      <w:r>
        <w:t>Adapte el Modelo de encuesta integral a la realidad de su organización (añadiendo, si es necesario, preguntas específicas de sector).</w:t>
      </w:r>
    </w:p>
    <w:p>
      <w:pPr>
        <w:pStyle w:val="ListNumber"/>
        <w:keepLines w:val="1"/>
        <w:keepNext w:val="1"/>
        <w:widowControl w:val="1"/>
      </w:pPr>
      <w:r>
        <w:t>Valide la encuesta con las áreas clave: seguridad, riesgos, finanzas, continuidad, legal.</w:t>
      </w:r>
    </w:p>
    <w:p>
      <w:pPr>
        <w:pStyle w:val="ListNumber"/>
        <w:keepLines w:val="1"/>
        <w:keepNext w:val="1"/>
        <w:widowControl w:val="1"/>
      </w:pPr>
      <w:r>
        <w:t>Seleccione el ámbito de aplicación inicial (corporativo, por unidad de negocio, piloto en un área crítica).</w:t>
      </w:r>
    </w:p>
    <w:p>
      <w:pPr>
        <w:pStyle w:val="ListNumber"/>
        <w:keepLines w:val="1"/>
        <w:keepNext w:val="1"/>
        <w:widowControl w:val="1"/>
      </w:pPr>
      <w:r>
        <w:t>Implemente la Plantilla de Excel o una herramienta equivalente para el tratamiento de resultados.</w:t>
      </w:r>
    </w:p>
    <w:p>
      <w:pPr>
        <w:pStyle w:val="ListNumber"/>
        <w:keepLines w:val="1"/>
        <w:widowControl w:val="1"/>
      </w:pPr>
      <w:r>
        <w:t>Prepare una versión de la Narrativa explicativa orientada a su contexto, para facilitar la comprensión y la aceptación.</w:t>
      </w:r>
    </w:p>
    <w:p>
      <w:pPr>
        <w:pStyle w:val="Heading2"/>
        <w:keepNext/>
        <w:keepLines/>
      </w:pPr>
      <w:r>
        <w:rPr>
          <w:color w:val="0066CC"/>
        </w:rPr>
        <w:t>4. Buenas prácticas de uso</w:t>
      </w:r>
    </w:p>
    <w:p>
      <w:pPr>
        <w:pStyle w:val="ListBullet"/>
        <w:keepLines w:val="1"/>
        <w:keepNext w:val="1"/>
        <w:widowControl w:val="1"/>
      </w:pPr>
      <w:r>
        <w:t>Transparencia: explique a los encuestados el propósito de la encuesta y el uso previsto de los resultados.</w:t>
      </w:r>
    </w:p>
    <w:p>
      <w:pPr>
        <w:pStyle w:val="ListBullet"/>
        <w:keepLines w:val="1"/>
        <w:keepNext w:val="1"/>
        <w:widowControl w:val="1"/>
      </w:pPr>
      <w:r>
        <w:t>Confidencialidad: limite el acceso a los resultados detallados a las personas implicadas en la mejora; use agregados para reportes amplios.</w:t>
      </w:r>
    </w:p>
    <w:p>
      <w:pPr>
        <w:pStyle w:val="ListBullet"/>
        <w:keepLines w:val="1"/>
        <w:keepNext w:val="1"/>
        <w:widowControl w:val="1"/>
      </w:pPr>
      <w:r>
        <w:t>Iteración: considere esta primera aplicación como línea de base; planifique ya la siguiente medición dentro de 12‑18 meses.</w:t>
      </w:r>
    </w:p>
    <w:p>
      <w:pPr>
        <w:pStyle w:val="ListBullet"/>
        <w:keepLines w:val="1"/>
        <w:widowControl w:val="1"/>
      </w:pPr>
      <w:r>
        <w:t>Humildad metodológica: recuerde que cualquier índice es una simplificación; la realidad siempre será más rica.</w:t>
      </w:r>
    </w:p>
    <w:p>
      <w:pPr>
        <w:pStyle w:val="Heading2"/>
        <w:keepNext/>
        <w:keepLines/>
      </w:pPr>
      <w:r>
        <w:rPr>
          <w:color w:val="0066CC"/>
        </w:rPr>
        <w:t>5. Personalización y mantenimiento</w:t>
      </w:r>
    </w:p>
    <w:p>
      <w:r>
        <w:t>El kit está pensado como base común, no como camisa de fuerza. Cada organización puede:</w:t>
      </w:r>
    </w:p>
    <w:p>
      <w:pPr>
        <w:pStyle w:val="ListBullet"/>
        <w:keepLines w:val="1"/>
        <w:keepNext w:val="1"/>
        <w:widowControl w:val="1"/>
      </w:pPr>
      <w:r>
        <w:t>Ajustar ponderaciones y escalas en la plantilla de Excel.</w:t>
      </w:r>
    </w:p>
    <w:p>
      <w:pPr>
        <w:pStyle w:val="ListBullet"/>
        <w:keepLines w:val="1"/>
        <w:keepNext w:val="1"/>
        <w:widowControl w:val="1"/>
      </w:pPr>
      <w:r>
        <w:t>Incorporar referencias a normativas sectoriales específicas (por ejemplo, financieras, sanitarias, industriales).</w:t>
      </w:r>
    </w:p>
    <w:p>
      <w:pPr>
        <w:pStyle w:val="ListBullet"/>
        <w:keepLines w:val="1"/>
        <w:widowControl w:val="1"/>
      </w:pPr>
      <w:r>
        <w:t>Añadir o refinar preguntas para reflejar particularidades tecnológicas (uso intensivo de nube, IoT, sistemas industriales, etc.).</w:t>
      </w:r>
    </w:p>
    <w:p>
      <w:r>
        <w:t>Se recomienda revisar el contenido del kit al menos cada dos años, o antes si se producen cambios significativos en el panorama normativo o tecnológico (por ejemplo, nuevas directivas europeas, grandes avances en IA generativa, etc.).</w:t>
      </w:r>
    </w:p>
    <w:p>
      <w:pPr>
        <w:pStyle w:val="Heading2"/>
        <w:keepNext/>
        <w:keepLines/>
      </w:pPr>
      <w:r>
        <w:rPr>
          <w:color w:val="0066CC"/>
        </w:rPr>
        <w:t>6. Licencia de uso interno</w:t>
      </w:r>
    </w:p>
    <w:p>
      <w:r>
        <w:t>El kit está concebido para uso interno en organizaciones que deseen avanzar en su madurez FAIR‑STRIDE. Puede ser adaptado, traducido y ampliado según las necesidades, respetando la integridad conceptual de los marcos FAIR y STRIDE.</w:t>
      </w:r>
    </w:p>
    <w:p>
      <w:r>
        <w:t>Si se utiliza como base para trabajos de consultoría, se recomienda explicitar claramente a los clientes qué partes del modelo se basan en marcos estándar y cuáles son aportaciones propias.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