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OWASP 2025 – España</w:t>
      </w:r>
    </w:p>
    <w:p>
      <w:r>
        <w:t>Versión 1.0 – Borrador para pilotos sectoriales</w:t>
      </w:r>
    </w:p>
    <w:p>
      <w:r>
        <w:t>Público objetivo: CISOs, responsables de TI, responsables de riesgo, compliance y equipos de desarrollo/DevSecOps de organizaciones sujetas (o cercanas) a ENS y/o NIS2 en España.</w:t>
      </w:r>
    </w:p>
    <w:p>
      <w:pPr>
        <w:pStyle w:val="Heading2"/>
        <w:keepNext/>
        <w:keepLines/>
      </w:pPr>
      <w:r>
        <w:rPr>
          <w:color w:val="0066CC"/>
        </w:rPr>
        <w:t>0. Instrucciones para la persona encuestada</w:t>
      </w:r>
    </w:p>
    <w:p>
      <w:pPr>
        <w:pStyle w:val="ListBullet"/>
        <w:keepLines w:val="1"/>
        <w:keepNext w:val="1"/>
        <w:widowControl w:val="1"/>
      </w:pPr>
      <w:r>
        <w:t>La encuesta está diseñada para ser respondida por una o varias personas que conozcan bien la realidad de la organización (idealmente, CISO o equivalente, Responsable de TI, Responsable de Desarrollo, Responsable de Riesgos).</w:t>
      </w:r>
    </w:p>
    <w:p>
      <w:pPr>
        <w:pStyle w:val="ListBullet"/>
        <w:keepLines w:val="1"/>
        <w:keepNext w:val="1"/>
        <w:widowControl w:val="1"/>
      </w:pPr>
      <w:r>
        <w:t>Use la opción que mejor refleje la situación real, no la deseada ni la que aparece en las presentaciones al Comité.</w:t>
      </w:r>
    </w:p>
    <w:p>
      <w:pPr>
        <w:pStyle w:val="ListBullet"/>
        <w:keepLines w:val="1"/>
        <w:keepNext w:val="1"/>
        <w:widowControl w:val="1"/>
      </w:pPr>
      <w:r>
        <w:t>Cuando una pregunta no aplique, marque “No aplica” y, si es posible, explique brevemente por qué.</w:t>
      </w:r>
    </w:p>
    <w:p>
      <w:pPr>
        <w:pStyle w:val="ListBullet"/>
        <w:keepLines w:val="1"/>
        <w:widowControl w:val="1"/>
      </w:pPr>
      <w:r>
        <w:t>El tono es deliberadamente ameno e irónico en algunas opciones; la intención es ayudar a la reflexión, no señalar con el dedo.</w:t>
      </w:r>
    </w:p>
    <w:p>
      <w:r>
        <w:t>Se recomienda completar la encuesta en bloques, pudiendo involucrar a diferentes áreas en cada bloque (por ejemplo, desarrollo para ASVS, riesgos para métricas, etc.).</w:t>
      </w:r>
    </w:p>
    <w:p>
      <w:pPr>
        <w:pStyle w:val="Heading2"/>
        <w:keepNext/>
        <w:keepLines/>
      </w:pPr>
      <w:r>
        <w:rPr>
          <w:color w:val="0066CC"/>
        </w:rPr>
        <w:t>Bloque 1 – Perfil de la organización</w:t>
      </w:r>
    </w:p>
    <w:p>
      <w:r>
        <w:rPr>
          <w:b/>
        </w:rPr>
        <w:t>P1.1. Tipo de organización principal</w:t>
      </w:r>
      <w:r/>
      <w:r>
        <w:br/>
        <w:t>Seleccione la opción que mejor describa su entidad.</w:t>
      </w:r>
    </w:p>
    <w:p>
      <w:pPr>
        <w:pStyle w:val="ListBullet"/>
        <w:keepLines w:val="1"/>
        <w:keepNext w:val="1"/>
        <w:widowControl w:val="1"/>
      </w:pPr>
      <w:r>
        <w:t>Administración pública (AGE, CCAA, EELL, organismos públicos, universidades públicas).</w:t>
      </w:r>
    </w:p>
    <w:p>
      <w:pPr>
        <w:pStyle w:val="ListBullet"/>
        <w:keepLines w:val="1"/>
        <w:keepNext w:val="1"/>
        <w:widowControl w:val="1"/>
      </w:pPr>
      <w:r>
        <w:t>Empresa privada – sector esencial NIS2 (energía, transporte, salud, banca, infraestructuras digitales, etc.).</w:t>
      </w:r>
    </w:p>
    <w:p>
      <w:pPr>
        <w:pStyle w:val="ListBullet"/>
        <w:keepLines w:val="1"/>
        <w:keepNext w:val="1"/>
        <w:widowControl w:val="1"/>
      </w:pPr>
      <w:r>
        <w:t>Empresa privada – sector importante NIS2.</w:t>
      </w:r>
    </w:p>
    <w:p>
      <w:pPr>
        <w:pStyle w:val="ListBullet"/>
        <w:keepLines w:val="1"/>
        <w:keepNext w:val="1"/>
        <w:widowControl w:val="1"/>
      </w:pPr>
      <w:r>
        <w:t>Proveedor TIC (servicios gestionados, cloud, desarrollo de software, etc.).</w:t>
      </w:r>
    </w:p>
    <w:p>
      <w:pPr>
        <w:pStyle w:val="ListBullet"/>
        <w:keepLines w:val="1"/>
        <w:widowControl w:val="1"/>
      </w:pPr>
      <w:r>
        <w:t>Otra (especificar brevemente).</w:t>
      </w:r>
    </w:p>
    <w:p>
      <w:r>
        <w:rPr>
          <w:b/>
        </w:rPr>
        <w:t>P1.2. Tamaño aproximado de la organización (empleados)</w:t>
      </w:r>
    </w:p>
    <w:p>
      <w:pPr>
        <w:pStyle w:val="ListBullet"/>
        <w:keepLines w:val="1"/>
        <w:keepNext w:val="1"/>
        <w:widowControl w:val="1"/>
      </w:pPr>
      <w:r>
        <w:t>Menos de 50.</w:t>
      </w:r>
    </w:p>
    <w:p>
      <w:pPr>
        <w:pStyle w:val="ListBullet"/>
        <w:keepLines w:val="1"/>
        <w:keepNext w:val="1"/>
        <w:widowControl w:val="1"/>
      </w:pPr>
      <w:r>
        <w:t>50–249.</w:t>
      </w:r>
    </w:p>
    <w:p>
      <w:pPr>
        <w:pStyle w:val="ListBullet"/>
        <w:keepLines w:val="1"/>
        <w:keepNext w:val="1"/>
        <w:widowControl w:val="1"/>
      </w:pPr>
      <w:r>
        <w:t>250–999.</w:t>
      </w:r>
    </w:p>
    <w:p>
      <w:pPr>
        <w:pStyle w:val="ListBullet"/>
        <w:keepLines w:val="1"/>
        <w:keepNext w:val="1"/>
        <w:widowControl w:val="1"/>
      </w:pPr>
      <w:r>
        <w:t>1.000–4.999.</w:t>
      </w:r>
    </w:p>
    <w:p>
      <w:pPr>
        <w:pStyle w:val="ListBullet"/>
        <w:keepLines w:val="1"/>
        <w:widowControl w:val="1"/>
      </w:pPr>
      <w:r>
        <w:t>5.000 o más.</w:t>
      </w:r>
    </w:p>
    <w:p>
      <w:r>
        <w:rPr>
          <w:b/>
        </w:rPr>
        <w:t>P1.3. Ámbito principal de operación</w:t>
      </w:r>
    </w:p>
    <w:p>
      <w:pPr>
        <w:pStyle w:val="ListBullet"/>
        <w:keepLines w:val="1"/>
        <w:keepNext w:val="1"/>
        <w:widowControl w:val="1"/>
      </w:pPr>
      <w:r>
        <w:t>Principalmente España.</w:t>
      </w:r>
    </w:p>
    <w:p>
      <w:pPr>
        <w:pStyle w:val="ListBullet"/>
        <w:keepLines w:val="1"/>
        <w:keepNext w:val="1"/>
        <w:widowControl w:val="1"/>
      </w:pPr>
      <w:r>
        <w:t>España y otros países de la UE.</w:t>
      </w:r>
    </w:p>
    <w:p>
      <w:pPr>
        <w:pStyle w:val="ListBullet"/>
        <w:keepLines w:val="1"/>
        <w:widowControl w:val="1"/>
      </w:pPr>
      <w:r>
        <w:t>Global (UE y fuera de la UE).</w:t>
      </w:r>
    </w:p>
    <w:p>
      <w:r>
        <w:rPr>
          <w:b/>
        </w:rPr>
        <w:t>P1.4. Situación respecto al ENS</w:t>
      </w:r>
    </w:p>
    <w:p>
      <w:pPr>
        <w:pStyle w:val="ListBullet"/>
        <w:keepLines w:val="1"/>
        <w:keepNext w:val="1"/>
        <w:widowControl w:val="1"/>
      </w:pPr>
      <w:r>
        <w:t>No aplica (no estamos sujetos al ENS ni por contrato ni por colaboración con el sector público).</w:t>
      </w:r>
    </w:p>
    <w:p>
      <w:pPr>
        <w:pStyle w:val="ListBullet"/>
        <w:keepLines w:val="1"/>
        <w:keepNext w:val="1"/>
        <w:widowControl w:val="1"/>
      </w:pPr>
      <w:r>
        <w:t>ENS en fase de adaptación (plan de adecuación en curso, sin certificación aún).</w:t>
      </w:r>
    </w:p>
    <w:p>
      <w:pPr>
        <w:pStyle w:val="ListBullet"/>
        <w:keepLines w:val="1"/>
        <w:keepNext w:val="1"/>
        <w:widowControl w:val="1"/>
      </w:pPr>
      <w:r>
        <w:t>ENS certificado – categoría BÁSICA.</w:t>
      </w:r>
    </w:p>
    <w:p>
      <w:pPr>
        <w:pStyle w:val="ListBullet"/>
        <w:keepLines w:val="1"/>
        <w:keepNext w:val="1"/>
        <w:widowControl w:val="1"/>
      </w:pPr>
      <w:r>
        <w:t>ENS certificado – categoría MEDIA.</w:t>
      </w:r>
    </w:p>
    <w:p>
      <w:pPr>
        <w:pStyle w:val="ListBullet"/>
        <w:keepLines w:val="1"/>
        <w:keepNext w:val="1"/>
        <w:widowControl w:val="1"/>
      </w:pPr>
      <w:r>
        <w:t>ENS certificado – categoría ALTA.</w:t>
      </w:r>
    </w:p>
    <w:p>
      <w:pPr>
        <w:pStyle w:val="ListBullet"/>
        <w:keepLines w:val="1"/>
        <w:widowControl w:val="1"/>
      </w:pPr>
      <w:r>
        <w:t>No lo sé / prefiero no contestar.</w:t>
      </w:r>
    </w:p>
    <w:p>
      <w:r>
        <w:rPr>
          <w:b/>
        </w:rPr>
        <w:t>P1.5. Situación respecto a NIS2</w:t>
      </w:r>
    </w:p>
    <w:p>
      <w:pPr>
        <w:pStyle w:val="ListBullet"/>
        <w:keepLines w:val="1"/>
        <w:keepNext w:val="1"/>
        <w:widowControl w:val="1"/>
      </w:pPr>
      <w:r>
        <w:t>Claramente dentro del ámbito NIS2 como entidad esencial.</w:t>
      </w:r>
    </w:p>
    <w:p>
      <w:pPr>
        <w:pStyle w:val="ListBullet"/>
        <w:keepLines w:val="1"/>
        <w:keepNext w:val="1"/>
        <w:widowControl w:val="1"/>
      </w:pPr>
      <w:r>
        <w:t>Dentro del ámbito NIS2 como entidad importante.</w:t>
      </w:r>
    </w:p>
    <w:p>
      <w:pPr>
        <w:pStyle w:val="ListBullet"/>
        <w:keepLines w:val="1"/>
        <w:keepNext w:val="1"/>
        <w:widowControl w:val="1"/>
      </w:pPr>
      <w:r>
        <w:t>Afectación indirecta (por ser proveedor de organizaciones NIS2).</w:t>
      </w:r>
    </w:p>
    <w:p>
      <w:pPr>
        <w:pStyle w:val="ListBullet"/>
        <w:keepLines w:val="1"/>
        <w:keepNext w:val="1"/>
        <w:widowControl w:val="1"/>
      </w:pPr>
      <w:r>
        <w:t>No afectada (que sepamos, todavía).</w:t>
      </w:r>
    </w:p>
    <w:p>
      <w:pPr>
        <w:pStyle w:val="ListBullet"/>
        <w:keepLines w:val="1"/>
        <w:widowControl w:val="1"/>
      </w:pPr>
      <w:r>
        <w:t>No lo sé / prefiero no contestar.</w:t>
      </w:r>
    </w:p>
    <w:p>
      <w:pPr>
        <w:pStyle w:val="Heading2"/>
        <w:keepNext/>
        <w:keepLines/>
      </w:pPr>
      <w:r>
        <w:rPr>
          <w:color w:val="0066CC"/>
        </w:rPr>
        <w:t>Bloque 2 – Gobernanza, riesgo y métricas (visión general)</w:t>
      </w:r>
    </w:p>
    <w:p>
      <w:r>
        <w:rPr>
          <w:b/>
        </w:rPr>
        <w:t>P2.1. Existencia de un marco formal de gestión de riesgos de ciberseguridad</w:t>
      </w:r>
    </w:p>
    <w:p>
      <w:pPr>
        <w:pStyle w:val="ListBullet"/>
        <w:keepLines w:val="1"/>
        <w:keepNext w:val="1"/>
        <w:widowControl w:val="1"/>
      </w:pPr>
      <w:r>
        <w:t>Sí, contamos con un marco formal documentado y aprobado (por ejemplo, alineado con ISO 27005, NIST, ENS u otros).</w:t>
      </w:r>
    </w:p>
    <w:p>
      <w:pPr>
        <w:pStyle w:val="ListBullet"/>
        <w:keepLines w:val="1"/>
        <w:keepNext w:val="1"/>
        <w:widowControl w:val="1"/>
      </w:pPr>
      <w:r>
        <w:t>Existe un marco informal; se gestiona el riesgo, pero la documentación es… aspiracional.</w:t>
      </w:r>
    </w:p>
    <w:p>
      <w:pPr>
        <w:pStyle w:val="ListBullet"/>
        <w:keepLines w:val="1"/>
        <w:keepNext w:val="1"/>
        <w:widowControl w:val="1"/>
      </w:pPr>
      <w:r>
        <w:t>No hay marco formal; se gestionan riesgos de forma reactiva caso a caso.</w:t>
      </w:r>
    </w:p>
    <w:p>
      <w:pPr>
        <w:pStyle w:val="ListBullet"/>
        <w:keepLines w:val="1"/>
        <w:widowControl w:val="1"/>
      </w:pPr>
      <w:r>
        <w:t>No lo sé / prefiero no contestar.</w:t>
      </w:r>
    </w:p>
    <w:p>
      <w:r>
        <w:rPr>
          <w:b/>
        </w:rPr>
        <w:t>P2.2. ¿Con qué frecuencia se revisan de forma estructurada los riesgos de ciberseguridad?</w:t>
      </w:r>
    </w:p>
    <w:p>
      <w:pPr>
        <w:pStyle w:val="ListBullet"/>
        <w:keepLines w:val="1"/>
        <w:keepNext w:val="1"/>
        <w:widowControl w:val="1"/>
      </w:pPr>
      <w:r>
        <w:t>Al menos una vez al año, con participación de la alta dirección.</w:t>
      </w:r>
    </w:p>
    <w:p>
      <w:pPr>
        <w:pStyle w:val="ListBullet"/>
        <w:keepLines w:val="1"/>
        <w:keepNext w:val="1"/>
        <w:widowControl w:val="1"/>
      </w:pPr>
      <w:r>
        <w:t>Al menos una vez al año, pero restringido al ámbito técnico.</w:t>
      </w:r>
    </w:p>
    <w:p>
      <w:pPr>
        <w:pStyle w:val="ListBullet"/>
        <w:keepLines w:val="1"/>
        <w:keepNext w:val="1"/>
        <w:widowControl w:val="1"/>
      </w:pPr>
      <w:r>
        <w:t>Solo cuando hay un incidente serio o una auditoría externa.</w:t>
      </w:r>
    </w:p>
    <w:p>
      <w:pPr>
        <w:pStyle w:val="ListBullet"/>
        <w:keepLines w:val="1"/>
        <w:widowControl w:val="1"/>
      </w:pPr>
      <w:r>
        <w:t>No existe proceso periódico de revisión de riesgos.</w:t>
      </w:r>
    </w:p>
    <w:p>
      <w:r>
        <w:rPr>
          <w:b/>
        </w:rPr>
        <w:t>P2.3. Implicación de la alta dirección en decisiones de ciberseguridad</w:t>
      </w:r>
    </w:p>
    <w:p>
      <w:pPr>
        <w:pStyle w:val="ListBullet"/>
        <w:keepLines w:val="1"/>
        <w:keepNext w:val="1"/>
        <w:widowControl w:val="1"/>
      </w:pPr>
      <w:r>
        <w:t>La alta dirección participa regularmente en comités donde se revisan indicadores, riesgos y planes de ciberseguridad.</w:t>
      </w:r>
    </w:p>
    <w:p>
      <w:pPr>
        <w:pStyle w:val="ListBullet"/>
        <w:keepLines w:val="1"/>
        <w:keepNext w:val="1"/>
        <w:widowControl w:val="1"/>
      </w:pPr>
      <w:r>
        <w:t>La alta dirección se implica puntualmente (ante proyectos grandes, incidentes o auditorías).</w:t>
      </w:r>
    </w:p>
    <w:p>
      <w:pPr>
        <w:pStyle w:val="ListBullet"/>
        <w:keepLines w:val="1"/>
        <w:keepNext w:val="1"/>
        <w:widowControl w:val="1"/>
      </w:pPr>
      <w:r>
        <w:t>La alta dirección se informa mediante resúmenes esporádicos; la toma de decisiones se delega casi por completo.</w:t>
      </w:r>
    </w:p>
    <w:p>
      <w:pPr>
        <w:pStyle w:val="ListBullet"/>
        <w:keepLines w:val="1"/>
        <w:widowControl w:val="1"/>
      </w:pPr>
      <w:r>
        <w:t>La alta dirección se entera por la prensa o cuando “algo se cae”.</w:t>
      </w:r>
    </w:p>
    <w:p>
      <w:r>
        <w:rPr>
          <w:b/>
        </w:rPr>
        <w:t>P2.4. Disponibilidad de indicadores cuantitativos de ciberseguridad (KPIs/KRIs)</w:t>
      </w:r>
    </w:p>
    <w:p>
      <w:pPr>
        <w:pStyle w:val="ListBullet"/>
        <w:keepLines w:val="1"/>
        <w:keepNext w:val="1"/>
        <w:widowControl w:val="1"/>
      </w:pPr>
      <w:r>
        <w:t>Sí, mantenemos un cuadro de mando con indicadores definidos, revisados y con objetivos claros.</w:t>
      </w:r>
    </w:p>
    <w:p>
      <w:pPr>
        <w:pStyle w:val="ListBullet"/>
        <w:keepLines w:val="1"/>
        <w:keepNext w:val="1"/>
        <w:widowControl w:val="1"/>
      </w:pPr>
      <w:r>
        <w:t>Tenemos indicadores, pero sin objetivos formales ni revisión periódica.</w:t>
      </w:r>
    </w:p>
    <w:p>
      <w:pPr>
        <w:pStyle w:val="ListBullet"/>
        <w:keepLines w:val="1"/>
        <w:keepNext w:val="1"/>
        <w:widowControl w:val="1"/>
      </w:pPr>
      <w:r>
        <w:t>Hay algunos datos dispersos (logs, tickets), pero no un cuadro de mando como tal.</w:t>
      </w:r>
    </w:p>
    <w:p>
      <w:pPr>
        <w:pStyle w:val="ListBullet"/>
        <w:keepLines w:val="1"/>
        <w:widowControl w:val="1"/>
      </w:pPr>
      <w:r>
        <w:t>No trabajamos con indicadores cuantitativos; preferimos el arte ancestral del “olfato”.</w:t>
      </w:r>
    </w:p>
    <w:p>
      <w:r>
        <w:rPr>
          <w:b/>
        </w:rPr>
        <w:t>P2.5. Existencia de un índice global de madurez (IGM) de ciberseguridad</w:t>
      </w:r>
    </w:p>
    <w:p>
      <w:pPr>
        <w:pStyle w:val="ListBullet"/>
        <w:keepLines w:val="1"/>
        <w:keepNext w:val="1"/>
        <w:widowControl w:val="1"/>
      </w:pPr>
      <w:r>
        <w:t>Sí, calculamos un índice de madurez (propio o basado en modelos como SAMM, NIST CSF, etc.).</w:t>
      </w:r>
    </w:p>
    <w:p>
      <w:pPr>
        <w:pStyle w:val="ListBullet"/>
        <w:keepLines w:val="1"/>
        <w:keepNext w:val="1"/>
        <w:widowControl w:val="1"/>
      </w:pPr>
      <w:r>
        <w:t>Estamos en proceso de definirlo.</w:t>
      </w:r>
    </w:p>
    <w:p>
      <w:pPr>
        <w:pStyle w:val="ListBullet"/>
        <w:keepLines w:val="1"/>
        <w:keepNext w:val="1"/>
        <w:widowControl w:val="1"/>
      </w:pPr>
      <w:r>
        <w:t>No, pero usamos evaluaciones cualitativas sin índice numérico.</w:t>
      </w:r>
    </w:p>
    <w:p>
      <w:pPr>
        <w:pStyle w:val="ListBullet"/>
        <w:keepLines w:val="1"/>
        <w:widowControl w:val="1"/>
      </w:pPr>
      <w:r>
        <w:t>No, y no está previsto por el momento.</w:t>
      </w:r>
    </w:p>
    <w:p>
      <w:pPr>
        <w:pStyle w:val="Heading2"/>
        <w:keepNext/>
        <w:keepLines/>
      </w:pPr>
      <w:r>
        <w:rPr>
          <w:color w:val="0066CC"/>
        </w:rPr>
        <w:t>Bloque 3 – OWASP Top 10:2025 (exposición y tratamiento)</w:t>
      </w:r>
    </w:p>
    <w:p>
      <w:r>
        <w:rPr>
          <w:b/>
        </w:rPr>
        <w:t>P3.1. Conocimiento interno del OWASP Top 10:2025</w:t>
      </w:r>
    </w:p>
    <w:p>
      <w:pPr>
        <w:pStyle w:val="ListBullet"/>
        <w:keepLines w:val="1"/>
        <w:keepNext w:val="1"/>
        <w:widowControl w:val="1"/>
      </w:pPr>
      <w:r>
        <w:t>Es conocido y utilizado de forma habitual por equipos de desarrollo, seguridad y auditoría.</w:t>
      </w:r>
    </w:p>
    <w:p>
      <w:pPr>
        <w:pStyle w:val="ListBullet"/>
        <w:keepLines w:val="1"/>
        <w:keepNext w:val="1"/>
        <w:widowControl w:val="1"/>
      </w:pPr>
      <w:r>
        <w:t>Es conocido principalmente por el equipo de seguridad; en desarrollo suena “de oídas”.</w:t>
      </w:r>
    </w:p>
    <w:p>
      <w:pPr>
        <w:pStyle w:val="ListBullet"/>
        <w:keepLines w:val="1"/>
        <w:keepNext w:val="1"/>
        <w:widowControl w:val="1"/>
      </w:pPr>
      <w:r>
        <w:t>Solo se menciona en formaciones u ocasionalmente en auditorías.</w:t>
      </w:r>
    </w:p>
    <w:p>
      <w:pPr>
        <w:pStyle w:val="ListBullet"/>
        <w:keepLines w:val="1"/>
        <w:widowControl w:val="1"/>
      </w:pPr>
      <w:r>
        <w:t>No tenemos conciencia práctica del Top 10:2025.</w:t>
      </w:r>
    </w:p>
    <w:p>
      <w:r>
        <w:rPr>
          <w:b/>
        </w:rPr>
        <w:t>P3.2. Mapeo de vulnerabilidades internas a categorías OWASP Top 10:2025</w:t>
      </w:r>
    </w:p>
    <w:p>
      <w:pPr>
        <w:pStyle w:val="ListBullet"/>
        <w:keepLines w:val="1"/>
        <w:keepNext w:val="1"/>
        <w:widowControl w:val="1"/>
      </w:pPr>
      <w:r>
        <w:t>Siempre: todas las vulnerabilidades relevantes se mapean sistemáticamente a categorías del Top 10.</w:t>
      </w:r>
    </w:p>
    <w:p>
      <w:pPr>
        <w:pStyle w:val="ListBullet"/>
        <w:keepLines w:val="1"/>
        <w:keepNext w:val="1"/>
        <w:widowControl w:val="1"/>
      </w:pPr>
      <w:r>
        <w:t>Frecuentemente, para vulnerabilidades de criticidad media o alta.</w:t>
      </w:r>
    </w:p>
    <w:p>
      <w:pPr>
        <w:pStyle w:val="ListBullet"/>
        <w:keepLines w:val="1"/>
        <w:keepNext w:val="1"/>
        <w:widowControl w:val="1"/>
      </w:pPr>
      <w:r>
        <w:t>Ocasionalmente, cuando lo piden auditorías o informes específicos.</w:t>
      </w:r>
    </w:p>
    <w:p>
      <w:pPr>
        <w:pStyle w:val="ListBullet"/>
        <w:keepLines w:val="1"/>
        <w:widowControl w:val="1"/>
      </w:pPr>
      <w:r>
        <w:t>Nunca o casi nunca; usamos otras taxonomías (o ninguna en particular).</w:t>
      </w:r>
    </w:p>
    <w:p>
      <w:r>
        <w:rPr>
          <w:b/>
        </w:rPr>
        <w:t>P3.3. Identificación de la categoría OWASP más frecuente en sus sistemas en el último año</w:t>
      </w:r>
      <w:r/>
      <w:r>
        <w:br/>
        <w:t>(Respuesta única basada en la mejor estimación disponible.)</w:t>
      </w:r>
    </w:p>
    <w:p>
      <w:pPr>
        <w:pStyle w:val="ListBullet"/>
        <w:keepLines w:val="1"/>
        <w:keepNext w:val="1"/>
        <w:widowControl w:val="1"/>
      </w:pPr>
      <w:r>
        <w:t>A01 – Broken Access Control.</w:t>
      </w:r>
    </w:p>
    <w:p>
      <w:pPr>
        <w:pStyle w:val="ListBullet"/>
        <w:keepLines w:val="1"/>
        <w:keepNext w:val="1"/>
        <w:widowControl w:val="1"/>
      </w:pPr>
      <w:r>
        <w:t>A02 – Security Misconfiguration.</w:t>
      </w:r>
    </w:p>
    <w:p>
      <w:pPr>
        <w:pStyle w:val="ListBullet"/>
        <w:keepLines w:val="1"/>
        <w:keepNext w:val="1"/>
        <w:widowControl w:val="1"/>
      </w:pPr>
      <w:r>
        <w:t>A03 – Software Supply Chain Failures.</w:t>
      </w:r>
    </w:p>
    <w:p>
      <w:pPr>
        <w:pStyle w:val="ListBullet"/>
        <w:keepLines w:val="1"/>
        <w:keepNext w:val="1"/>
        <w:widowControl w:val="1"/>
      </w:pPr>
      <w:r>
        <w:t>Otras categorías del Top 10 (especificar en comentarios).</w:t>
      </w:r>
    </w:p>
    <w:p>
      <w:pPr>
        <w:pStyle w:val="ListBullet"/>
        <w:keepLines w:val="1"/>
        <w:widowControl w:val="1"/>
      </w:pPr>
      <w:r>
        <w:t>No disponemos de esa información aún.</w:t>
      </w:r>
    </w:p>
    <w:p>
      <w:r>
        <w:rPr>
          <w:b/>
        </w:rPr>
        <w:t>P3.4. Cobertura de análisis frente al Top 10:2025</w:t>
      </w:r>
    </w:p>
    <w:p>
      <w:r>
        <w:t>En las aplicaciones y APIs críticas:</w:t>
      </w:r>
    </w:p>
    <w:p>
      <w:pPr>
        <w:pStyle w:val="ListBullet"/>
        <w:keepLines w:val="1"/>
        <w:keepNext w:val="1"/>
        <w:widowControl w:val="1"/>
      </w:pPr>
      <w:r>
        <w:t>Contamos con pruebas (SAST/DAST/SCA/pentesting) mapeadas explícitamente a las diez categorías del Top 10:2025.</w:t>
      </w:r>
    </w:p>
    <w:p>
      <w:pPr>
        <w:pStyle w:val="ListBullet"/>
        <w:keepLines w:val="1"/>
        <w:keepNext w:val="1"/>
        <w:widowControl w:val="1"/>
      </w:pPr>
      <w:r>
        <w:t>Algunas pruebas se mapean al Top 10, pero no hay una cobertura sistemática.</w:t>
      </w:r>
    </w:p>
    <w:p>
      <w:pPr>
        <w:pStyle w:val="ListBullet"/>
        <w:keepLines w:val="1"/>
        <w:keepNext w:val="1"/>
        <w:widowControl w:val="1"/>
      </w:pPr>
      <w:r>
        <w:t>Se realizan pruebas de seguridad sin mapeo explícito al Top 10.</w:t>
      </w:r>
    </w:p>
    <w:p>
      <w:pPr>
        <w:pStyle w:val="ListBullet"/>
        <w:keepLines w:val="1"/>
        <w:widowControl w:val="1"/>
      </w:pPr>
      <w:r>
        <w:t>No se realizan pruebas de seguridad específicas o son muy puntuales.</w:t>
      </w:r>
    </w:p>
    <w:p>
      <w:r>
        <w:rPr>
          <w:b/>
        </w:rPr>
        <w:t>P3.5. Tiempo medio de remediación de vulnerabilidades asociadas al Top 10:2025 (MTTR)</w:t>
      </w:r>
      <w:r/>
      <w:r>
        <w:br/>
        <w:t>(Para vulnerabilidades de criticidad alta o crítica.)</w:t>
      </w:r>
    </w:p>
    <w:p>
      <w:pPr>
        <w:pStyle w:val="ListBullet"/>
        <w:keepLines w:val="1"/>
        <w:keepNext w:val="1"/>
        <w:widowControl w:val="1"/>
      </w:pPr>
      <w:r>
        <w:t>Menos de 7 días.</w:t>
      </w:r>
    </w:p>
    <w:p>
      <w:pPr>
        <w:pStyle w:val="ListBullet"/>
        <w:keepLines w:val="1"/>
        <w:keepNext w:val="1"/>
        <w:widowControl w:val="1"/>
      </w:pPr>
      <w:r>
        <w:t>Entre 7 y 30 días.</w:t>
      </w:r>
    </w:p>
    <w:p>
      <w:pPr>
        <w:pStyle w:val="ListBullet"/>
        <w:keepLines w:val="1"/>
        <w:keepNext w:val="1"/>
        <w:widowControl w:val="1"/>
      </w:pPr>
      <w:r>
        <w:t>Entre 31 y 90 días.</w:t>
      </w:r>
    </w:p>
    <w:p>
      <w:pPr>
        <w:pStyle w:val="ListBullet"/>
        <w:keepLines w:val="1"/>
        <w:keepNext w:val="1"/>
        <w:widowControl w:val="1"/>
      </w:pPr>
      <w:r>
        <w:t>Más de 90 días.</w:t>
      </w:r>
    </w:p>
    <w:p>
      <w:pPr>
        <w:pStyle w:val="ListBullet"/>
        <w:keepLines w:val="1"/>
        <w:widowControl w:val="1"/>
      </w:pPr>
      <w:r>
        <w:t>No se mide o no se dispone de ese dato.</w:t>
      </w:r>
    </w:p>
    <w:p>
      <w:r>
        <w:rPr>
          <w:b/>
        </w:rPr>
        <w:t>P3.6. Prioridad relativa de A01–A03 en la gestión de vulnerabilidades</w:t>
      </w:r>
    </w:p>
    <w:p>
      <w:pPr>
        <w:pStyle w:val="ListBullet"/>
        <w:keepLines w:val="1"/>
        <w:keepNext w:val="1"/>
        <w:widowControl w:val="1"/>
      </w:pPr>
      <w:r>
        <w:t>Existe una prioridad explícita para vulnerabilidades asociadas a A01–A03 (política o procedimiento formal).</w:t>
      </w:r>
    </w:p>
    <w:p>
      <w:pPr>
        <w:pStyle w:val="ListBullet"/>
        <w:keepLines w:val="1"/>
        <w:keepNext w:val="1"/>
        <w:widowControl w:val="1"/>
      </w:pPr>
      <w:r>
        <w:t>Se priorizan de facto, aunque no exista una política formal.</w:t>
      </w:r>
    </w:p>
    <w:p>
      <w:pPr>
        <w:pStyle w:val="ListBullet"/>
        <w:keepLines w:val="1"/>
        <w:keepNext w:val="1"/>
        <w:widowControl w:val="1"/>
      </w:pPr>
      <w:r>
        <w:t>No se priorizan específicamente; se tratan igual que el resto según CVSS u otros criterios.</w:t>
      </w:r>
    </w:p>
    <w:p>
      <w:pPr>
        <w:pStyle w:val="ListBullet"/>
        <w:keepLines w:val="1"/>
        <w:widowControl w:val="1"/>
      </w:pPr>
      <w:r>
        <w:t>No se diferencian en absoluto; “todas las vulnerabilidades son importantes”.</w:t>
      </w:r>
    </w:p>
    <w:p>
      <w:pPr>
        <w:pStyle w:val="Heading2"/>
        <w:keepNext/>
        <w:keepLines/>
      </w:pPr>
      <w:r>
        <w:rPr>
          <w:color w:val="0066CC"/>
        </w:rPr>
        <w:t>Bloque 4 – OWASP SAMM (madurez de programa)</w:t>
      </w:r>
    </w:p>
    <w:p>
      <w:r>
        <w:rPr>
          <w:b/>
        </w:rPr>
        <w:t>P4.1. Uso de OWASP SAMM en la organización</w:t>
      </w:r>
    </w:p>
    <w:p>
      <w:pPr>
        <w:pStyle w:val="ListBullet"/>
        <w:keepLines w:val="1"/>
        <w:keepNext w:val="1"/>
        <w:widowControl w:val="1"/>
      </w:pPr>
      <w:r>
        <w:t>Sí, realizamos autoevaluaciones SAMM regulares (al menos cada 2 años).</w:t>
      </w:r>
    </w:p>
    <w:p>
      <w:pPr>
        <w:pStyle w:val="ListBullet"/>
        <w:keepLines w:val="1"/>
        <w:keepNext w:val="1"/>
        <w:widowControl w:val="1"/>
      </w:pPr>
      <w:r>
        <w:t>Lo hemos utilizado al menos una vez para una evaluación puntual.</w:t>
      </w:r>
    </w:p>
    <w:p>
      <w:pPr>
        <w:pStyle w:val="ListBullet"/>
        <w:keepLines w:val="1"/>
        <w:keepNext w:val="1"/>
        <w:widowControl w:val="1"/>
      </w:pPr>
      <w:r>
        <w:t>Conocemos SAMM pero aún no lo hemos utilizado.</w:t>
      </w:r>
    </w:p>
    <w:p>
      <w:pPr>
        <w:pStyle w:val="ListBullet"/>
        <w:keepLines w:val="1"/>
        <w:widowControl w:val="1"/>
      </w:pPr>
      <w:r>
        <w:t>No conocíamos SAMM antes de esta encuesta.</w:t>
      </w:r>
    </w:p>
    <w:p>
      <w:r>
        <w:rPr>
          <w:b/>
        </w:rPr>
        <w:t>P4.2. Cobertura organizativa de las autoevaluaciones SAMM</w:t>
      </w:r>
      <w:r/>
      <w:r>
        <w:br/>
        <w:t>(Solo si ha respondido que sí en P4.1.)</w:t>
      </w:r>
    </w:p>
    <w:p>
      <w:pPr>
        <w:pStyle w:val="ListBullet"/>
        <w:keepLines w:val="1"/>
        <w:keepNext w:val="1"/>
        <w:widowControl w:val="1"/>
      </w:pPr>
      <w:r>
        <w:t>Las autoevaluaciones cubren a toda la organización relevante (TI, desarrollo, operaciones, negocio).</w:t>
      </w:r>
    </w:p>
    <w:p>
      <w:pPr>
        <w:pStyle w:val="ListBullet"/>
        <w:keepLines w:val="1"/>
        <w:keepNext w:val="1"/>
        <w:widowControl w:val="1"/>
      </w:pPr>
      <w:r>
        <w:t>Cubren principalmente áreas técnicas (desarrollo, operaciones); negocio participa marginalmente.</w:t>
      </w:r>
    </w:p>
    <w:p>
      <w:pPr>
        <w:pStyle w:val="ListBullet"/>
        <w:keepLines w:val="1"/>
        <w:keepNext w:val="1"/>
        <w:widowControl w:val="1"/>
      </w:pPr>
      <w:r>
        <w:t>Se limitan a proyectos o equipos específicos.</w:t>
      </w:r>
    </w:p>
    <w:p>
      <w:pPr>
        <w:pStyle w:val="ListBullet"/>
        <w:keepLines w:val="1"/>
        <w:widowControl w:val="1"/>
      </w:pPr>
      <w:r>
        <w:t>No aplicable (no usamos SAMM).</w:t>
      </w:r>
    </w:p>
    <w:p>
      <w:r>
        <w:rPr>
          <w:b/>
        </w:rPr>
        <w:t>P4.3. Nivel medio aproximado de madurez SAMM alcanzado</w:t>
      </w:r>
      <w:r/>
      <w:r>
        <w:br/>
        <w:t>(Si se conoce el dato.)</w:t>
      </w:r>
    </w:p>
    <w:p>
      <w:pPr>
        <w:pStyle w:val="ListBullet"/>
        <w:keepLines w:val="1"/>
        <w:keepNext w:val="1"/>
        <w:widowControl w:val="1"/>
      </w:pPr>
      <w:r>
        <w:t>Entre 0 y 1.</w:t>
      </w:r>
    </w:p>
    <w:p>
      <w:pPr>
        <w:pStyle w:val="ListBullet"/>
        <w:keepLines w:val="1"/>
        <w:keepNext w:val="1"/>
        <w:widowControl w:val="1"/>
      </w:pPr>
      <w:r>
        <w:t>Entre 1 y 2.</w:t>
      </w:r>
    </w:p>
    <w:p>
      <w:pPr>
        <w:pStyle w:val="ListBullet"/>
        <w:keepLines w:val="1"/>
        <w:keepNext w:val="1"/>
        <w:widowControl w:val="1"/>
      </w:pPr>
      <w:r>
        <w:t>Entre 2 y 3.</w:t>
      </w:r>
    </w:p>
    <w:p>
      <w:pPr>
        <w:pStyle w:val="ListBullet"/>
        <w:keepLines w:val="1"/>
        <w:keepNext w:val="1"/>
        <w:widowControl w:val="1"/>
      </w:pPr>
      <w:r>
        <w:t>No se dispone de puntuación global, solo cualitativa.</w:t>
      </w:r>
    </w:p>
    <w:p>
      <w:pPr>
        <w:pStyle w:val="ListBullet"/>
        <w:keepLines w:val="1"/>
        <w:widowControl w:val="1"/>
      </w:pPr>
      <w:r>
        <w:t>No aplicable / no usamos SAMM.</w:t>
      </w:r>
    </w:p>
    <w:p>
      <w:r>
        <w:rPr>
          <w:b/>
        </w:rPr>
        <w:t>P4.4. Estado de la práctica SAMM “Strategy and Metrics”</w:t>
      </w:r>
    </w:p>
    <w:p>
      <w:pPr>
        <w:pStyle w:val="ListBullet"/>
        <w:keepLines w:val="1"/>
        <w:keepNext w:val="1"/>
        <w:widowControl w:val="1"/>
      </w:pPr>
      <w:r>
        <w:t>Nivel 0: no existen objetivos ni métricas claras de seguridad de software.</w:t>
      </w:r>
    </w:p>
    <w:p>
      <w:pPr>
        <w:pStyle w:val="ListBullet"/>
        <w:keepLines w:val="1"/>
        <w:keepNext w:val="1"/>
        <w:widowControl w:val="1"/>
      </w:pPr>
      <w:r>
        <w:t>Nivel 1: existen objetivos y algunas métricas definidas, pero no están alineadas con el negocio.</w:t>
      </w:r>
    </w:p>
    <w:p>
      <w:pPr>
        <w:pStyle w:val="ListBullet"/>
        <w:keepLines w:val="1"/>
        <w:keepNext w:val="1"/>
        <w:widowControl w:val="1"/>
      </w:pPr>
      <w:r>
        <w:t>Nivel 2: existe una estrategia unificada de seguridad de software con métricas asociadas.</w:t>
      </w:r>
    </w:p>
    <w:p>
      <w:pPr>
        <w:pStyle w:val="ListBullet"/>
        <w:keepLines w:val="1"/>
        <w:keepNext w:val="1"/>
        <w:widowControl w:val="1"/>
      </w:pPr>
      <w:r>
        <w:t>Nivel 3: la estrategia y las métricas están integradas y alineadas con indicadores de negocio y valor de activos.</w:t>
      </w:r>
    </w:p>
    <w:p>
      <w:pPr>
        <w:pStyle w:val="ListBullet"/>
        <w:keepLines w:val="1"/>
        <w:widowControl w:val="1"/>
      </w:pPr>
      <w:r>
        <w:t>No se ha evaluado específicamente esta práctica.</w:t>
      </w:r>
    </w:p>
    <w:p>
      <w:r>
        <w:rPr>
          <w:b/>
        </w:rPr>
        <w:t>P4.5. Uso de resultados SAMM para planificar inversiones</w:t>
      </w:r>
    </w:p>
    <w:p>
      <w:pPr>
        <w:pStyle w:val="ListBullet"/>
        <w:keepLines w:val="1"/>
        <w:keepNext w:val="1"/>
        <w:widowControl w:val="1"/>
      </w:pPr>
      <w:r>
        <w:t>Los resultados SAMM se utilizan explícitamente para priorizar inversiones y proyectos de seguridad.</w:t>
      </w:r>
    </w:p>
    <w:p>
      <w:pPr>
        <w:pStyle w:val="ListBullet"/>
        <w:keepLines w:val="1"/>
        <w:keepNext w:val="1"/>
        <w:widowControl w:val="1"/>
      </w:pPr>
      <w:r>
        <w:t>Se tienen en cuenta de forma orientativa, pero no determinan decisiones de inversión.</w:t>
      </w:r>
    </w:p>
    <w:p>
      <w:pPr>
        <w:pStyle w:val="ListBullet"/>
        <w:keepLines w:val="1"/>
        <w:keepNext w:val="1"/>
        <w:widowControl w:val="1"/>
      </w:pPr>
      <w:r>
        <w:t>Los resultados se elaboran “para la foto” y no se integran en la planificación real.</w:t>
      </w:r>
    </w:p>
    <w:p>
      <w:pPr>
        <w:pStyle w:val="ListBullet"/>
        <w:keepLines w:val="1"/>
        <w:widowControl w:val="1"/>
      </w:pPr>
      <w:r>
        <w:t>No disponemos de resultados SAMM.</w:t>
      </w:r>
    </w:p>
    <w:p>
      <w:r>
        <w:rPr>
          <w:b/>
        </w:rPr>
        <w:t>P4.6. Frecuencia de revisión de madurez SAMM</w:t>
      </w:r>
    </w:p>
    <w:p>
      <w:pPr>
        <w:pStyle w:val="ListBullet"/>
        <w:keepLines w:val="1"/>
        <w:keepNext w:val="1"/>
        <w:widowControl w:val="1"/>
      </w:pPr>
      <w:r>
        <w:t>Revisión anual o más frecuente.</w:t>
      </w:r>
    </w:p>
    <w:p>
      <w:pPr>
        <w:pStyle w:val="ListBullet"/>
        <w:keepLines w:val="1"/>
        <w:keepNext w:val="1"/>
        <w:widowControl w:val="1"/>
      </w:pPr>
      <w:r>
        <w:t>Revisión cada 2–3 años.</w:t>
      </w:r>
    </w:p>
    <w:p>
      <w:pPr>
        <w:pStyle w:val="ListBullet"/>
        <w:keepLines w:val="1"/>
        <w:keepNext w:val="1"/>
        <w:widowControl w:val="1"/>
      </w:pPr>
      <w:r>
        <w:t>Evaluación única sin seguimiento sistemático.</w:t>
      </w:r>
    </w:p>
    <w:p>
      <w:pPr>
        <w:pStyle w:val="ListBullet"/>
        <w:keepLines w:val="1"/>
        <w:widowControl w:val="1"/>
      </w:pPr>
      <w:r>
        <w:t>No se revisa / no aplicable.</w:t>
      </w:r>
    </w:p>
    <w:p>
      <w:pPr>
        <w:pStyle w:val="Heading2"/>
        <w:keepNext/>
        <w:keepLines/>
      </w:pPr>
      <w:r>
        <w:rPr>
          <w:color w:val="0066CC"/>
        </w:rPr>
        <w:t>Bloque 5 – OWASP ASVS 5.0 (verificación técnica)</w:t>
      </w:r>
    </w:p>
    <w:p>
      <w:r>
        <w:rPr>
          <w:b/>
        </w:rPr>
        <w:t>P5.1. Conocimiento y uso de OWASP ASVS</w:t>
      </w:r>
    </w:p>
    <w:p>
      <w:pPr>
        <w:pStyle w:val="ListBullet"/>
        <w:keepLines w:val="1"/>
        <w:keepNext w:val="1"/>
        <w:widowControl w:val="1"/>
      </w:pPr>
      <w:r>
        <w:t>ASVS está formalmente adoptado como estándar interno de requisitos de seguridad para aplicaciones.</w:t>
      </w:r>
    </w:p>
    <w:p>
      <w:pPr>
        <w:pStyle w:val="ListBullet"/>
        <w:keepLines w:val="1"/>
        <w:keepNext w:val="1"/>
        <w:widowControl w:val="1"/>
      </w:pPr>
      <w:r>
        <w:t>ASVS se utiliza como referencia en algunos proyectos o auditorías, pero no de forma sistemática.</w:t>
      </w:r>
    </w:p>
    <w:p>
      <w:pPr>
        <w:pStyle w:val="ListBullet"/>
        <w:keepLines w:val="1"/>
        <w:keepNext w:val="1"/>
        <w:widowControl w:val="1"/>
      </w:pPr>
      <w:r>
        <w:t>Se conocen sus principios, pero no se aplica formalmente.</w:t>
      </w:r>
    </w:p>
    <w:p>
      <w:pPr>
        <w:pStyle w:val="ListBullet"/>
        <w:keepLines w:val="1"/>
        <w:widowControl w:val="1"/>
      </w:pPr>
      <w:r>
        <w:t>No se conoce ni se aplica ASVS.</w:t>
      </w:r>
    </w:p>
    <w:p>
      <w:r>
        <w:rPr>
          <w:b/>
        </w:rPr>
        <w:t>P5.2. Clasificación de aplicaciones según niveles ASVS</w:t>
      </w:r>
    </w:p>
    <w:p>
      <w:pPr>
        <w:pStyle w:val="ListBullet"/>
        <w:keepLines w:val="1"/>
        <w:keepNext w:val="1"/>
        <w:widowControl w:val="1"/>
      </w:pPr>
      <w:r>
        <w:t>Todas las aplicaciones tienen asignado un nivel ASVS (1, 2 o 3) en función de su criticidad.</w:t>
      </w:r>
    </w:p>
    <w:p>
      <w:pPr>
        <w:pStyle w:val="ListBullet"/>
        <w:keepLines w:val="1"/>
        <w:keepNext w:val="1"/>
        <w:widowControl w:val="1"/>
      </w:pPr>
      <w:r>
        <w:t>Solo las aplicaciones críticas tienen un nivel ASVS documentado.</w:t>
      </w:r>
    </w:p>
    <w:p>
      <w:pPr>
        <w:pStyle w:val="ListBullet"/>
        <w:keepLines w:val="1"/>
        <w:keepNext w:val="1"/>
        <w:widowControl w:val="1"/>
      </w:pPr>
      <w:r>
        <w:t>No se utilizan niveles ASVS, pero se emplean categorías de criticidad propias.</w:t>
      </w:r>
    </w:p>
    <w:p>
      <w:pPr>
        <w:pStyle w:val="ListBullet"/>
        <w:keepLines w:val="1"/>
        <w:widowControl w:val="1"/>
      </w:pPr>
      <w:r>
        <w:t>No existe clasificación formal en términos de ASVS ni equivalente.</w:t>
      </w:r>
    </w:p>
    <w:p>
      <w:r>
        <w:rPr>
          <w:b/>
        </w:rPr>
        <w:t>P5.3. Porcentaje aproximado de aplicaciones críticas evaluadas al menos contra ASVS Nivel 2</w:t>
      </w:r>
    </w:p>
    <w:p>
      <w:pPr>
        <w:pStyle w:val="ListBullet"/>
        <w:keepLines w:val="1"/>
        <w:keepNext w:val="1"/>
        <w:widowControl w:val="1"/>
      </w:pPr>
      <w:r>
        <w:t>0–25 %.</w:t>
      </w:r>
    </w:p>
    <w:p>
      <w:pPr>
        <w:pStyle w:val="ListBullet"/>
        <w:keepLines w:val="1"/>
        <w:keepNext w:val="1"/>
        <w:widowControl w:val="1"/>
      </w:pPr>
      <w:r>
        <w:t>26–50 %.</w:t>
      </w:r>
    </w:p>
    <w:p>
      <w:pPr>
        <w:pStyle w:val="ListBullet"/>
        <w:keepLines w:val="1"/>
        <w:keepNext w:val="1"/>
        <w:widowControl w:val="1"/>
      </w:pPr>
      <w:r>
        <w:t>51–75 %.</w:t>
      </w:r>
    </w:p>
    <w:p>
      <w:pPr>
        <w:pStyle w:val="ListBullet"/>
        <w:keepLines w:val="1"/>
        <w:keepNext w:val="1"/>
        <w:widowControl w:val="1"/>
      </w:pPr>
      <w:r>
        <w:t>76–100 %.</w:t>
      </w:r>
    </w:p>
    <w:p>
      <w:pPr>
        <w:pStyle w:val="ListBullet"/>
        <w:keepLines w:val="1"/>
        <w:widowControl w:val="1"/>
      </w:pPr>
      <w:r>
        <w:t>No se dispone de esta información.</w:t>
      </w:r>
    </w:p>
    <w:p>
      <w:r>
        <w:rPr>
          <w:b/>
        </w:rPr>
        <w:t>P5.4. Uso de ASVS en el ciclo de vida de desarrollo (SDLC)</w:t>
      </w:r>
    </w:p>
    <w:p>
      <w:pPr>
        <w:pStyle w:val="ListBullet"/>
        <w:keepLines w:val="1"/>
        <w:keepNext w:val="1"/>
        <w:widowControl w:val="1"/>
      </w:pPr>
      <w:r>
        <w:t>Integrado en el “definition of done” y en criterios de aceptación de historias de usuario.</w:t>
      </w:r>
    </w:p>
    <w:p>
      <w:pPr>
        <w:pStyle w:val="ListBullet"/>
        <w:keepLines w:val="1"/>
        <w:keepNext w:val="1"/>
        <w:widowControl w:val="1"/>
      </w:pPr>
      <w:r>
        <w:t>Utilizado como checklist en revisiones de diseño y código.</w:t>
      </w:r>
    </w:p>
    <w:p>
      <w:pPr>
        <w:pStyle w:val="ListBullet"/>
        <w:keepLines w:val="1"/>
        <w:keepNext w:val="1"/>
        <w:widowControl w:val="1"/>
      </w:pPr>
      <w:r>
        <w:t>Empleado únicamente en auditorías externas o pentests puntuales.</w:t>
      </w:r>
    </w:p>
    <w:p>
      <w:pPr>
        <w:pStyle w:val="ListBullet"/>
        <w:keepLines w:val="1"/>
        <w:widowControl w:val="1"/>
      </w:pPr>
      <w:r>
        <w:t>No se utiliza ASVS en el SDLC.</w:t>
      </w:r>
    </w:p>
    <w:p>
      <w:r>
        <w:rPr>
          <w:b/>
        </w:rPr>
        <w:t>P5.5. Cobertura de pruebas automatizadas frente a requisitos ASVS</w:t>
      </w:r>
    </w:p>
    <w:p>
      <w:pPr>
        <w:pStyle w:val="ListBullet"/>
        <w:keepLines w:val="1"/>
        <w:keepNext w:val="1"/>
        <w:widowControl w:val="1"/>
      </w:pPr>
      <w:r>
        <w:t>Se mide de forma explícita el porcentaje de requisitos ASVS cubiertos por pruebas automatizadas.</w:t>
      </w:r>
    </w:p>
    <w:p>
      <w:pPr>
        <w:pStyle w:val="ListBullet"/>
        <w:keepLines w:val="1"/>
        <w:keepNext w:val="1"/>
        <w:widowControl w:val="1"/>
      </w:pPr>
      <w:r>
        <w:t>Existen pruebas automatizadas de seguridad, pero sin trazabilidad directa a requisitos ASVS.</w:t>
      </w:r>
    </w:p>
    <w:p>
      <w:pPr>
        <w:pStyle w:val="ListBullet"/>
        <w:keepLines w:val="1"/>
        <w:keepNext w:val="1"/>
        <w:widowControl w:val="1"/>
      </w:pPr>
      <w:r>
        <w:t>Solo se realizan pruebas manuales de seguridad.</w:t>
      </w:r>
    </w:p>
    <w:p>
      <w:pPr>
        <w:pStyle w:val="ListBullet"/>
        <w:keepLines w:val="1"/>
        <w:widowControl w:val="1"/>
      </w:pPr>
      <w:r>
        <w:t>No se realizan pruebas de seguridad específicas.</w:t>
      </w:r>
    </w:p>
    <w:p>
      <w:r>
        <w:rPr>
          <w:b/>
        </w:rPr>
        <w:t>P5.6. Densidad de requisitos ASVS no cumplidos detectados en producción</w:t>
      </w:r>
    </w:p>
    <w:p>
      <w:pPr>
        <w:pStyle w:val="ListBullet"/>
        <w:keepLines w:val="1"/>
        <w:keepNext w:val="1"/>
        <w:widowControl w:val="1"/>
      </w:pPr>
      <w:r>
        <w:t>Se dispone de indicadores que miden requisitos ASVS no cumplidos descubiertos a través de incidentes o auditorías en producción.</w:t>
      </w:r>
    </w:p>
    <w:p>
      <w:pPr>
        <w:pStyle w:val="ListBullet"/>
        <w:keepLines w:val="1"/>
        <w:keepNext w:val="1"/>
        <w:widowControl w:val="1"/>
      </w:pPr>
      <w:r>
        <w:t>Se registran hallazgos, pero no se miden explícitamente frente a ASVS.</w:t>
      </w:r>
    </w:p>
    <w:p>
      <w:pPr>
        <w:pStyle w:val="ListBullet"/>
        <w:keepLines w:val="1"/>
        <w:widowControl w:val="1"/>
      </w:pPr>
      <w:r>
        <w:t>No se mide ni se relaciona con ASVS.</w:t>
      </w:r>
    </w:p>
    <w:p>
      <w:pPr>
        <w:pStyle w:val="Heading2"/>
        <w:keepNext/>
        <w:keepLines/>
      </w:pPr>
      <w:r>
        <w:rPr>
          <w:color w:val="0066CC"/>
        </w:rPr>
        <w:t>Bloque 6 – Metodología OWASP de Rating de Riesgo</w:t>
      </w:r>
    </w:p>
    <w:p>
      <w:r>
        <w:rPr>
          <w:b/>
        </w:rPr>
        <w:t>P6.1. Uso de la Metodología de Rating de Riesgo de OWASP</w:t>
      </w:r>
    </w:p>
    <w:p>
      <w:pPr>
        <w:pStyle w:val="ListBullet"/>
        <w:keepLines w:val="1"/>
        <w:keepNext w:val="1"/>
        <w:widowControl w:val="1"/>
      </w:pPr>
      <w:r>
        <w:t>Se utiliza de forma sistemática para evaluar riesgos de aplicaciones.</w:t>
      </w:r>
    </w:p>
    <w:p>
      <w:pPr>
        <w:pStyle w:val="ListBullet"/>
        <w:keepLines w:val="1"/>
        <w:keepNext w:val="1"/>
        <w:widowControl w:val="1"/>
      </w:pPr>
      <w:r>
        <w:t>Se utiliza como referencia, combinada con otros marcos (CVSS, ISO 27005, etc.).</w:t>
      </w:r>
    </w:p>
    <w:p>
      <w:pPr>
        <w:pStyle w:val="ListBullet"/>
        <w:keepLines w:val="1"/>
        <w:keepNext w:val="1"/>
        <w:widowControl w:val="1"/>
      </w:pPr>
      <w:r>
        <w:t>No se utiliza, pero podría adoptarse en el futuro.</w:t>
      </w:r>
    </w:p>
    <w:p>
      <w:pPr>
        <w:pStyle w:val="ListBullet"/>
        <w:keepLines w:val="1"/>
        <w:widowControl w:val="1"/>
      </w:pPr>
      <w:r>
        <w:t>No se conoce esta metodología.</w:t>
      </w:r>
    </w:p>
    <w:p>
      <w:r>
        <w:rPr>
          <w:b/>
        </w:rPr>
        <w:t>P6.2. Factores considerados habitualmente en la evaluación de riesgos de aplicaciones</w:t>
      </w:r>
      <w:r/>
      <w:r>
        <w:br/>
        <w:t>(Marque todas las que apliquen.)</w:t>
      </w:r>
    </w:p>
    <w:p>
      <w:pPr>
        <w:pStyle w:val="ListBullet"/>
        <w:keepLines w:val="1"/>
        <w:keepNext w:val="1"/>
        <w:widowControl w:val="1"/>
      </w:pPr>
      <w:r>
        <w:t>Probabilidad de explotación basada en factores del agente de amenaza (capacidad, motivación, oportunidad).</w:t>
      </w:r>
    </w:p>
    <w:p>
      <w:pPr>
        <w:pStyle w:val="ListBullet"/>
        <w:keepLines w:val="1"/>
        <w:keepNext w:val="1"/>
        <w:widowControl w:val="1"/>
      </w:pPr>
      <w:r>
        <w:t>Facilidad de descubrimiento y explotación de las vulnerabilidades.</w:t>
      </w:r>
    </w:p>
    <w:p>
      <w:pPr>
        <w:pStyle w:val="ListBullet"/>
        <w:keepLines w:val="1"/>
        <w:keepNext w:val="1"/>
        <w:widowControl w:val="1"/>
      </w:pPr>
      <w:r>
        <w:t>Impacto técnico (confidencialidad, integridad, disponibilidad, trazabilidad).</w:t>
      </w:r>
    </w:p>
    <w:p>
      <w:pPr>
        <w:pStyle w:val="ListBullet"/>
        <w:keepLines w:val="1"/>
        <w:keepNext w:val="1"/>
        <w:widowControl w:val="1"/>
      </w:pPr>
      <w:r>
        <w:t>Impacto de negocio (financiero, reputacional, legal, sobre personas).</w:t>
      </w:r>
    </w:p>
    <w:p>
      <w:pPr>
        <w:pStyle w:val="ListBullet"/>
        <w:keepLines w:val="1"/>
        <w:widowControl w:val="1"/>
      </w:pPr>
      <w:r>
        <w:t>Principalmente la puntuación CVSS de la vulnerabilidad, sin matices adicionales.</w:t>
      </w:r>
    </w:p>
    <w:p>
      <w:r>
        <w:rPr>
          <w:b/>
        </w:rPr>
        <w:t>P6.3. Clasificación del riesgo resultante (salida)</w:t>
      </w:r>
    </w:p>
    <w:p>
      <w:pPr>
        <w:pStyle w:val="ListBullet"/>
        <w:keepLines w:val="1"/>
        <w:keepNext w:val="1"/>
        <w:widowControl w:val="1"/>
      </w:pPr>
      <w:r>
        <w:t>Score numérico normalizado (por ejemplo, 1–10) con umbrales definidos para bajo/medio/alto.</w:t>
      </w:r>
    </w:p>
    <w:p>
      <w:pPr>
        <w:pStyle w:val="ListBullet"/>
        <w:keepLines w:val="1"/>
        <w:keepNext w:val="1"/>
        <w:widowControl w:val="1"/>
      </w:pPr>
      <w:r>
        <w:t>Clasificación cualitativa (bajo/medio/alto) sin un score numérico explícito.</w:t>
      </w:r>
    </w:p>
    <w:p>
      <w:pPr>
        <w:pStyle w:val="ListBullet"/>
        <w:keepLines w:val="1"/>
        <w:keepNext w:val="1"/>
        <w:widowControl w:val="1"/>
      </w:pPr>
      <w:r>
        <w:t>Se decide caso a caso, sin criterios comunes bien definidos.</w:t>
      </w:r>
    </w:p>
    <w:p>
      <w:pPr>
        <w:pStyle w:val="ListBullet"/>
        <w:keepLines w:val="1"/>
        <w:widowControl w:val="1"/>
      </w:pPr>
      <w:r>
        <w:t>No existe un proceso de clasificación explícito.</w:t>
      </w:r>
    </w:p>
    <w:p>
      <w:r>
        <w:rPr>
          <w:b/>
        </w:rPr>
        <w:t>P6.4. Uso de los resultados de riesgo en la priorización de remediación</w:t>
      </w:r>
    </w:p>
    <w:p>
      <w:pPr>
        <w:pStyle w:val="ListBullet"/>
        <w:keepLines w:val="1"/>
        <w:keepNext w:val="1"/>
        <w:widowControl w:val="1"/>
      </w:pPr>
      <w:r>
        <w:t>Los valores de riesgo (score o nivel) determinan explícitamente los plazos máximos de remediación.</w:t>
      </w:r>
    </w:p>
    <w:p>
      <w:pPr>
        <w:pStyle w:val="ListBullet"/>
        <w:keepLines w:val="1"/>
        <w:keepNext w:val="1"/>
        <w:widowControl w:val="1"/>
      </w:pPr>
      <w:r>
        <w:t>El riesgo se tiene en cuenta, pero hay excepciones frecuentes que no siguen la prioridad teórica.</w:t>
      </w:r>
    </w:p>
    <w:p>
      <w:pPr>
        <w:pStyle w:val="ListBullet"/>
        <w:keepLines w:val="1"/>
        <w:keepNext w:val="1"/>
        <w:widowControl w:val="1"/>
      </w:pPr>
      <w:r>
        <w:t>El riesgo no se utiliza sistemáticamente para priorizar; manda la urgencia percibida o la presión externa.</w:t>
      </w:r>
    </w:p>
    <w:p>
      <w:pPr>
        <w:pStyle w:val="ListBullet"/>
        <w:keepLines w:val="1"/>
        <w:widowControl w:val="1"/>
      </w:pPr>
      <w:r>
        <w:t>No se realiza priorización estructurada; se resuelve “lo que se puede cuando se puede”.</w:t>
      </w:r>
    </w:p>
    <w:p>
      <w:r>
        <w:rPr>
          <w:b/>
        </w:rPr>
        <w:t>P6.5. Participación de la alta dirección en la aceptación de riesgos altos</w:t>
      </w:r>
    </w:p>
    <w:p>
      <w:pPr>
        <w:pStyle w:val="ListBullet"/>
        <w:keepLines w:val="1"/>
        <w:keepNext w:val="1"/>
        <w:widowControl w:val="1"/>
      </w:pPr>
      <w:r>
        <w:t>Toda aceptación de riesgos altos requiere decisión de la alta dirección documentada.</w:t>
      </w:r>
    </w:p>
    <w:p>
      <w:pPr>
        <w:pStyle w:val="ListBullet"/>
        <w:keepLines w:val="1"/>
        <w:keepNext w:val="1"/>
        <w:widowControl w:val="1"/>
      </w:pPr>
      <w:r>
        <w:t>En teoría, sí; en la práctica, las aceptaciones se resuelven a nivel técnico/intermedio.</w:t>
      </w:r>
    </w:p>
    <w:p>
      <w:pPr>
        <w:pStyle w:val="ListBullet"/>
        <w:keepLines w:val="1"/>
        <w:keepNext w:val="1"/>
        <w:widowControl w:val="1"/>
      </w:pPr>
      <w:r>
        <w:t>No existe un proceso formal de aceptación de riesgos.</w:t>
      </w:r>
    </w:p>
    <w:p>
      <w:pPr>
        <w:pStyle w:val="ListBullet"/>
        <w:keepLines w:val="1"/>
        <w:widowControl w:val="1"/>
      </w:pPr>
      <w:r>
        <w:t>No se acepta riesgo; todo se “asume” por defecto sin análisis formal.</w:t>
      </w:r>
    </w:p>
    <w:p>
      <w:pPr>
        <w:pStyle w:val="Heading2"/>
        <w:keepNext/>
        <w:keepLines/>
      </w:pPr>
      <w:r>
        <w:rPr>
          <w:color w:val="0066CC"/>
        </w:rPr>
        <w:t>Bloque 7 – Cultura, formación y capacidades humanas</w:t>
      </w:r>
    </w:p>
    <w:p>
      <w:r>
        <w:rPr>
          <w:b/>
        </w:rPr>
        <w:t>P7.1. Formación en OWASP (Top 10, SAMM, ASVS) para personal técnico</w:t>
      </w:r>
    </w:p>
    <w:p>
      <w:r>
        <w:t>En el último año, el porcentaje aproximado de personal técnico (desarrollo, operaciones, arquitectura, seguridad) que ha recibido formación basada en OWASP es:</w:t>
      </w:r>
    </w:p>
    <w:p>
      <w:pPr>
        <w:pStyle w:val="ListBullet"/>
        <w:keepLines w:val="1"/>
        <w:keepNext w:val="1"/>
        <w:widowControl w:val="1"/>
      </w:pPr>
      <w:r>
        <w:t>0–25 %.</w:t>
      </w:r>
    </w:p>
    <w:p>
      <w:pPr>
        <w:pStyle w:val="ListBullet"/>
        <w:keepLines w:val="1"/>
        <w:keepNext w:val="1"/>
        <w:widowControl w:val="1"/>
      </w:pPr>
      <w:r>
        <w:t>26–50 %.</w:t>
      </w:r>
    </w:p>
    <w:p>
      <w:pPr>
        <w:pStyle w:val="ListBullet"/>
        <w:keepLines w:val="1"/>
        <w:keepNext w:val="1"/>
        <w:widowControl w:val="1"/>
      </w:pPr>
      <w:r>
        <w:t>51–75 %.</w:t>
      </w:r>
    </w:p>
    <w:p>
      <w:pPr>
        <w:pStyle w:val="ListBullet"/>
        <w:keepLines w:val="1"/>
        <w:keepNext w:val="1"/>
        <w:widowControl w:val="1"/>
      </w:pPr>
      <w:r>
        <w:t>76–100 %.</w:t>
      </w:r>
    </w:p>
    <w:p>
      <w:pPr>
        <w:pStyle w:val="ListBullet"/>
        <w:keepLines w:val="1"/>
        <w:widowControl w:val="1"/>
      </w:pPr>
      <w:r>
        <w:t>No se dispone de esta información.</w:t>
      </w:r>
    </w:p>
    <w:p>
      <w:r>
        <w:rPr>
          <w:b/>
        </w:rPr>
        <w:t>P7.2. Programas de concienciación para personal no técnico</w:t>
      </w:r>
    </w:p>
    <w:p>
      <w:pPr>
        <w:pStyle w:val="ListBullet"/>
        <w:keepLines w:val="1"/>
        <w:keepNext w:val="1"/>
        <w:widowControl w:val="1"/>
      </w:pPr>
      <w:r>
        <w:t>Existen programas periódicos de concienciación (al menos anuales) adaptados a perfiles no técnicos.</w:t>
      </w:r>
    </w:p>
    <w:p>
      <w:pPr>
        <w:pStyle w:val="ListBullet"/>
        <w:keepLines w:val="1"/>
        <w:keepNext w:val="1"/>
        <w:widowControl w:val="1"/>
      </w:pPr>
      <w:r>
        <w:t>Se realizan acciones puntuales (charlas, correos, cartelería) sin continuidad clara.</w:t>
      </w:r>
    </w:p>
    <w:p>
      <w:pPr>
        <w:pStyle w:val="ListBullet"/>
        <w:keepLines w:val="1"/>
        <w:keepNext w:val="1"/>
        <w:widowControl w:val="1"/>
      </w:pPr>
      <w:r>
        <w:t>Solo se forma al personal tras un incidente o cuando lo exige una auditoría.</w:t>
      </w:r>
    </w:p>
    <w:p>
      <w:pPr>
        <w:pStyle w:val="ListBullet"/>
        <w:keepLines w:val="1"/>
        <w:widowControl w:val="1"/>
      </w:pPr>
      <w:r>
        <w:t>No hay un programa de concienciación estructurado.</w:t>
      </w:r>
    </w:p>
    <w:p>
      <w:r>
        <w:rPr>
          <w:b/>
        </w:rPr>
        <w:t>P7.3. "Security champions" en equipos de desarrollo</w:t>
      </w:r>
    </w:p>
    <w:p>
      <w:pPr>
        <w:pStyle w:val="ListBullet"/>
        <w:keepLines w:val="1"/>
        <w:keepNext w:val="1"/>
        <w:widowControl w:val="1"/>
      </w:pPr>
      <w:r>
        <w:t>Todos o casi todos los equipos cuentan con al menos una persona identificada formalmente como "security champion".</w:t>
      </w:r>
    </w:p>
    <w:p>
      <w:pPr>
        <w:pStyle w:val="ListBullet"/>
        <w:keepLines w:val="1"/>
        <w:keepNext w:val="1"/>
        <w:widowControl w:val="1"/>
      </w:pPr>
      <w:r>
        <w:t>Algunos equipos cuentan con figuras informales que ejercen ese rol.</w:t>
      </w:r>
    </w:p>
    <w:p>
      <w:pPr>
        <w:pStyle w:val="ListBullet"/>
        <w:keepLines w:val="1"/>
        <w:keepNext w:val="1"/>
        <w:widowControl w:val="1"/>
      </w:pPr>
      <w:r>
        <w:t>No existe tal figura; la seguridad se centraliza en un equipo especializado.</w:t>
      </w:r>
    </w:p>
    <w:p>
      <w:pPr>
        <w:pStyle w:val="ListBullet"/>
        <w:keepLines w:val="1"/>
        <w:widowControl w:val="1"/>
      </w:pPr>
      <w:r>
        <w:t>No aplica (no desarrollamos software propio).</w:t>
      </w:r>
    </w:p>
    <w:p>
      <w:r>
        <w:rPr>
          <w:b/>
        </w:rPr>
        <w:t>P7.4. Cultura de reporte interno de vulnerabilidades</w:t>
      </w:r>
    </w:p>
    <w:p>
      <w:pPr>
        <w:pStyle w:val="ListBullet"/>
        <w:keepLines w:val="1"/>
        <w:keepNext w:val="1"/>
        <w:widowControl w:val="1"/>
      </w:pPr>
      <w:r>
        <w:t>Existe un canal claro y utilizado para reportar debilidades de seguridad (internas o de terceros), con reconocimiento al personal que las identifica.</w:t>
      </w:r>
    </w:p>
    <w:p>
      <w:pPr>
        <w:pStyle w:val="ListBullet"/>
        <w:keepLines w:val="1"/>
        <w:keepNext w:val="1"/>
        <w:widowControl w:val="1"/>
      </w:pPr>
      <w:r>
        <w:t>Existe un canal, pero su uso es limitado y no hay un reconocimiento explícito.</w:t>
      </w:r>
    </w:p>
    <w:p>
      <w:pPr>
        <w:pStyle w:val="ListBullet"/>
        <w:keepLines w:val="1"/>
        <w:keepNext w:val="1"/>
        <w:widowControl w:val="1"/>
      </w:pPr>
      <w:r>
        <w:t>El reporte de vulnerabilidades se percibe como algo potencialmente "problemático" para quien reporta.</w:t>
      </w:r>
    </w:p>
    <w:p>
      <w:pPr>
        <w:pStyle w:val="ListBullet"/>
        <w:keepLines w:val="1"/>
        <w:widowControl w:val="1"/>
      </w:pPr>
      <w:r>
        <w:t>No existe un canal claro ni cultura de reporte interno.</w:t>
      </w:r>
    </w:p>
    <w:p>
      <w:r>
        <w:rPr>
          <w:b/>
        </w:rPr>
        <w:t>P7.5. Tiempo desde el descubrimiento de una vulnerabilidad crítica hasta su inclusión en la agenda de la alta dirección</w:t>
      </w:r>
    </w:p>
    <w:p>
      <w:pPr>
        <w:pStyle w:val="ListBullet"/>
        <w:keepLines w:val="1"/>
        <w:keepNext w:val="1"/>
        <w:widowControl w:val="1"/>
      </w:pPr>
      <w:r>
        <w:t>Menos de 48 horas.</w:t>
      </w:r>
    </w:p>
    <w:p>
      <w:pPr>
        <w:pStyle w:val="ListBullet"/>
        <w:keepLines w:val="1"/>
        <w:keepNext w:val="1"/>
        <w:widowControl w:val="1"/>
      </w:pPr>
      <w:r>
        <w:t>Entre 2 y 7 días.</w:t>
      </w:r>
    </w:p>
    <w:p>
      <w:pPr>
        <w:pStyle w:val="ListBullet"/>
        <w:keepLines w:val="1"/>
        <w:keepNext w:val="1"/>
        <w:widowControl w:val="1"/>
      </w:pPr>
      <w:r>
        <w:t>Entre 8 y 30 días.</w:t>
      </w:r>
    </w:p>
    <w:p>
      <w:pPr>
        <w:pStyle w:val="ListBullet"/>
        <w:keepLines w:val="1"/>
        <w:keepNext w:val="1"/>
        <w:widowControl w:val="1"/>
      </w:pPr>
      <w:r>
        <w:t>Solo en casos excepcionales o mediáticos.</w:t>
      </w:r>
    </w:p>
    <w:p>
      <w:pPr>
        <w:pStyle w:val="ListBullet"/>
        <w:keepLines w:val="1"/>
        <w:widowControl w:val="1"/>
      </w:pPr>
      <w:r>
        <w:t>No se eleva a la alta dirección de forma sistemática.</w:t>
      </w:r>
    </w:p>
    <w:p>
      <w:pPr>
        <w:pStyle w:val="Heading2"/>
        <w:keepNext/>
        <w:keepLines/>
      </w:pPr>
      <w:r>
        <w:rPr>
          <w:color w:val="0066CC"/>
        </w:rPr>
        <w:t>Bloque 8 – Cadena de suministro y terceros (A03 y NIS2)</w:t>
      </w:r>
    </w:p>
    <w:p>
      <w:r>
        <w:rPr>
          <w:b/>
        </w:rPr>
        <w:t>P8.1. Inventario y clasificación de proveedores TIC críticos</w:t>
      </w:r>
    </w:p>
    <w:p>
      <w:pPr>
        <w:pStyle w:val="ListBullet"/>
        <w:keepLines w:val="1"/>
        <w:keepNext w:val="1"/>
        <w:widowControl w:val="1"/>
      </w:pPr>
      <w:r>
        <w:t>Existe un inventario actualizado con clasificación de criticidad (incluyendo proveedores cloud, de software, integradores y servicios gestionados).</w:t>
      </w:r>
    </w:p>
    <w:p>
      <w:pPr>
        <w:pStyle w:val="ListBullet"/>
        <w:keepLines w:val="1"/>
        <w:keepNext w:val="1"/>
        <w:widowControl w:val="1"/>
      </w:pPr>
      <w:r>
        <w:t>Existe un inventario parcial o desactualizado.</w:t>
      </w:r>
    </w:p>
    <w:p>
      <w:pPr>
        <w:pStyle w:val="ListBullet"/>
        <w:keepLines w:val="1"/>
        <w:keepNext w:val="1"/>
        <w:widowControl w:val="1"/>
      </w:pPr>
      <w:r>
        <w:t>El inventario se limita a contratos clave; no cubre toda la dependencia real.</w:t>
      </w:r>
    </w:p>
    <w:p>
      <w:pPr>
        <w:pStyle w:val="ListBullet"/>
        <w:keepLines w:val="1"/>
        <w:widowControl w:val="1"/>
      </w:pPr>
      <w:r>
        <w:t>No hay un inventario sistemático; nos enteramos de quién es crítico cuando falla.</w:t>
      </w:r>
    </w:p>
    <w:p>
      <w:r>
        <w:rPr>
          <w:b/>
        </w:rPr>
        <w:t>P8.2. Evaluación de seguridad de proveedores TIC</w:t>
      </w:r>
    </w:p>
    <w:p>
      <w:pPr>
        <w:pStyle w:val="ListBullet"/>
        <w:keepLines w:val="1"/>
        <w:keepNext w:val="1"/>
        <w:widowControl w:val="1"/>
      </w:pPr>
      <w:r>
        <w:t>Se realizan evaluaciones estructuradas (cuestionarios, auditorías, certificaciones) antes de la contratación y de forma periódica.</w:t>
      </w:r>
    </w:p>
    <w:p>
      <w:pPr>
        <w:pStyle w:val="ListBullet"/>
        <w:keepLines w:val="1"/>
        <w:keepNext w:val="1"/>
        <w:widowControl w:val="1"/>
      </w:pPr>
      <w:r>
        <w:t>Se piden evidencias básicas (ISO 27001, ENS, etc.) pero sin evaluación en profundidad.</w:t>
      </w:r>
    </w:p>
    <w:p>
      <w:pPr>
        <w:pStyle w:val="ListBullet"/>
        <w:keepLines w:val="1"/>
        <w:keepNext w:val="1"/>
        <w:widowControl w:val="1"/>
      </w:pPr>
      <w:r>
        <w:t>La evaluación de seguridad es más bien informal o basada en la reputación del proveedor.</w:t>
      </w:r>
    </w:p>
    <w:p>
      <w:pPr>
        <w:pStyle w:val="ListBullet"/>
        <w:keepLines w:val="1"/>
        <w:widowControl w:val="1"/>
      </w:pPr>
      <w:r>
        <w:t>No se realiza evaluación significativa de seguridad de proveedores.</w:t>
      </w:r>
    </w:p>
    <w:p>
      <w:r>
        <w:rPr>
          <w:b/>
        </w:rPr>
        <w:t>P8.3. Requisitos OWASP/ASVS en contratos con terceros</w:t>
      </w:r>
    </w:p>
    <w:p>
      <w:pPr>
        <w:pStyle w:val="ListBullet"/>
        <w:keepLines w:val="1"/>
        <w:keepNext w:val="1"/>
        <w:widowControl w:val="1"/>
      </w:pPr>
      <w:r>
        <w:t>Se incluyen requisitos explícitos basados en OWASP (Top 10, ASVS) en contratos y pliegos.</w:t>
      </w:r>
    </w:p>
    <w:p>
      <w:pPr>
        <w:pStyle w:val="ListBullet"/>
        <w:keepLines w:val="1"/>
        <w:keepNext w:val="1"/>
        <w:widowControl w:val="1"/>
      </w:pPr>
      <w:r>
        <w:t>Se incluyen requisitos genéricos de "seguridad de aplicaciones" sin referencia explícita a OWASP.</w:t>
      </w:r>
    </w:p>
    <w:p>
      <w:pPr>
        <w:pStyle w:val="ListBullet"/>
        <w:keepLines w:val="1"/>
        <w:keepNext w:val="1"/>
        <w:widowControl w:val="1"/>
      </w:pPr>
      <w:r>
        <w:t>No se incluyen requisitos específicos más allá de cláusulas legales genéricas.</w:t>
      </w:r>
    </w:p>
    <w:p>
      <w:pPr>
        <w:pStyle w:val="ListBullet"/>
        <w:keepLines w:val="1"/>
        <w:widowControl w:val="1"/>
      </w:pPr>
      <w:r>
        <w:t>No aplica (no se externalizan desarrollos ni servicios TIC críticos).</w:t>
      </w:r>
    </w:p>
    <w:p>
      <w:r>
        <w:rPr>
          <w:b/>
        </w:rPr>
        <w:t>P8.4. Gestión de vulnerabilidades en componentes de terceros (dependencias, librerías, imágenes)</w:t>
      </w:r>
    </w:p>
    <w:p>
      <w:pPr>
        <w:pStyle w:val="ListBullet"/>
        <w:keepLines w:val="1"/>
        <w:keepNext w:val="1"/>
        <w:widowControl w:val="1"/>
      </w:pPr>
      <w:r>
        <w:t>Existe un proceso formal de gestión de vulnerabilidades de componentes de terceros (SCA, SBOM, procedimientos de parcheo, etc.).</w:t>
      </w:r>
    </w:p>
    <w:p>
      <w:pPr>
        <w:pStyle w:val="ListBullet"/>
        <w:keepLines w:val="1"/>
        <w:keepNext w:val="1"/>
        <w:widowControl w:val="1"/>
      </w:pPr>
      <w:r>
        <w:t>Existen prácticas parciales, impulsadas principalmente por algunos equipos.</w:t>
      </w:r>
    </w:p>
    <w:p>
      <w:pPr>
        <w:pStyle w:val="ListBullet"/>
        <w:keepLines w:val="1"/>
        <w:keepNext w:val="1"/>
        <w:widowControl w:val="1"/>
      </w:pPr>
      <w:r>
        <w:t>La gestión de vulnerabilidades en componentes es reactiva, tras incidentes o avisos públicos.</w:t>
      </w:r>
    </w:p>
    <w:p>
      <w:pPr>
        <w:pStyle w:val="ListBullet"/>
        <w:keepLines w:val="1"/>
        <w:widowControl w:val="1"/>
      </w:pPr>
      <w:r>
        <w:t>No existe un proceso específico para dependencias y componentes.</w:t>
      </w:r>
    </w:p>
    <w:p>
      <w:pPr>
        <w:pStyle w:val="Heading2"/>
        <w:keepNext/>
        <w:keepLines/>
      </w:pPr>
      <w:r>
        <w:rPr>
          <w:color w:val="0066CC"/>
        </w:rPr>
        <w:t>Bloque 9 – Operaciones, incidentes y continuidad</w:t>
      </w:r>
    </w:p>
    <w:p>
      <w:r>
        <w:rPr>
          <w:b/>
        </w:rPr>
        <w:t>P9.1. Registro y gestión de incidentes de seguridad</w:t>
      </w:r>
    </w:p>
    <w:p>
      <w:pPr>
        <w:pStyle w:val="ListBullet"/>
        <w:keepLines w:val="1"/>
        <w:keepNext w:val="1"/>
        <w:widowControl w:val="1"/>
      </w:pPr>
      <w:r>
        <w:t>Existe un proceso formal con registro centralizado, clasificación, análisis de causa raíz y seguimiento.</w:t>
      </w:r>
    </w:p>
    <w:p>
      <w:pPr>
        <w:pStyle w:val="ListBullet"/>
        <w:keepLines w:val="1"/>
        <w:keepNext w:val="1"/>
        <w:widowControl w:val="1"/>
      </w:pPr>
      <w:r>
        <w:t>Se registran incidentes de cierta relevancia, pero sin un proceso formal completo.</w:t>
      </w:r>
    </w:p>
    <w:p>
      <w:pPr>
        <w:pStyle w:val="ListBullet"/>
        <w:keepLines w:val="1"/>
        <w:keepNext w:val="1"/>
        <w:widowControl w:val="1"/>
      </w:pPr>
      <w:r>
        <w:t>Solo se registran incidentes muy graves o aquellos que trascienden externamente.</w:t>
      </w:r>
    </w:p>
    <w:p>
      <w:pPr>
        <w:pStyle w:val="ListBullet"/>
        <w:keepLines w:val="1"/>
        <w:widowControl w:val="1"/>
      </w:pPr>
      <w:r>
        <w:t>No existe un proceso claro de gestión de incidentes.</w:t>
      </w:r>
    </w:p>
    <w:p>
      <w:r>
        <w:rPr>
          <w:b/>
        </w:rPr>
        <w:t>P9.2. Coordinación con CSIRTs nacionales (INCIBE-CERT, CCN-CERT)</w:t>
      </w:r>
    </w:p>
    <w:p>
      <w:pPr>
        <w:pStyle w:val="ListBullet"/>
        <w:keepLines w:val="1"/>
        <w:keepNext w:val="1"/>
        <w:widowControl w:val="1"/>
      </w:pPr>
      <w:r>
        <w:t>Mantenemos canales establecidos y utilizamos regularmente los servicios de estos CSIRTs.</w:t>
      </w:r>
    </w:p>
    <w:p>
      <w:pPr>
        <w:pStyle w:val="ListBullet"/>
        <w:keepLines w:val="1"/>
        <w:keepNext w:val="1"/>
        <w:widowControl w:val="1"/>
      </w:pPr>
      <w:r>
        <w:t>Se ha contactado en algunas ocasiones, pero no de forma sistemática.</w:t>
      </w:r>
    </w:p>
    <w:p>
      <w:pPr>
        <w:pStyle w:val="ListBullet"/>
        <w:keepLines w:val="1"/>
        <w:keepNext w:val="1"/>
        <w:widowControl w:val="1"/>
      </w:pPr>
      <w:r>
        <w:t>No se ha utilizado su apoyo, aunque se conoce su existencia.</w:t>
      </w:r>
    </w:p>
    <w:p>
      <w:pPr>
        <w:pStyle w:val="ListBullet"/>
        <w:keepLines w:val="1"/>
        <w:widowControl w:val="1"/>
      </w:pPr>
      <w:r>
        <w:t>No se conocen ni se utilizan estos recursos.</w:t>
      </w:r>
    </w:p>
    <w:p>
      <w:r>
        <w:rPr>
          <w:b/>
        </w:rPr>
        <w:t>P9.3. Planes de continuidad y recuperación ante desastres</w:t>
      </w:r>
    </w:p>
    <w:p>
      <w:pPr>
        <w:pStyle w:val="ListBullet"/>
        <w:keepLines w:val="1"/>
        <w:widowControl w:val="1"/>
      </w:pPr>
      <w:r>
        <w:t>Existen, se prueban periódicamente y cubren escenarios de ciberincidentes maje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