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OWASP 2025 – España</w:t>
      </w:r>
    </w:p>
    <w:p>
      <w:r>
        <w:t>Versión 1.0 – Propuesta para pilotos sectoriales y uso institucional</w:t>
      </w:r>
    </w:p>
    <w:p>
      <w:pPr>
        <w:pStyle w:val="Heading2"/>
        <w:keepNext/>
        <w:keepLines/>
      </w:pPr>
      <w:r>
        <w:rPr>
          <w:color w:val="0066CC"/>
        </w:rPr>
        <w:t>1. Objetivos de la encuesta</w:t>
      </w:r>
    </w:p>
    <w:p>
      <w:r>
        <w:t>La encuesta OWASP 2025 – España tiene como finalidad principal medir, de forma cuantitativa y comparable, el grado de adopción y aplicación de:</w:t>
      </w:r>
    </w:p>
    <w:p>
      <w:pPr>
        <w:pStyle w:val="ListBullet"/>
        <w:keepLines w:val="1"/>
        <w:keepNext w:val="1"/>
        <w:widowControl w:val="1"/>
      </w:pPr>
      <w:r>
        <w:t>Los marcos OWASP Top 10:2025, OWASP SAMM y OWASP ASVS 5.0.</w:t>
      </w:r>
    </w:p>
    <w:p>
      <w:pPr>
        <w:pStyle w:val="ListBullet"/>
        <w:keepLines w:val="1"/>
        <w:keepNext w:val="1"/>
        <w:widowControl w:val="1"/>
      </w:pPr>
      <w:r>
        <w:t>La Metodología de Rating de Riesgo de OWASP en la práctica de gestión de riesgos.</w:t>
      </w:r>
    </w:p>
    <w:p>
      <w:pPr>
        <w:pStyle w:val="ListBullet"/>
        <w:keepLines w:val="1"/>
        <w:widowControl w:val="1"/>
      </w:pPr>
      <w:r>
        <w:t>Prácticas de cultura, formación y gobernanza relacionadas con ciberseguridad.</w:t>
      </w:r>
    </w:p>
    <w:p>
      <w:r>
        <w:t>Y, al mismo tiempo, evaluar el alineamiento de estas prácticas con las obligaciones y el espíritu de:</w:t>
      </w:r>
    </w:p>
    <w:p>
      <w:pPr>
        <w:pStyle w:val="ListBullet"/>
        <w:keepLines w:val="1"/>
        <w:keepNext w:val="1"/>
        <w:widowControl w:val="1"/>
      </w:pPr>
      <w:r>
        <w:t>La Directiva NIS2 (gestión de riesgos, medidas técnicas y organizativas, gobernanza y notificación de incidentes).</w:t>
      </w:r>
    </w:p>
    <w:p>
      <w:pPr>
        <w:pStyle w:val="ListBullet"/>
        <w:keepLines w:val="1"/>
        <w:widowControl w:val="1"/>
      </w:pPr>
      <w:r>
        <w:t>El Esquema Nacional de Seguridad (ENS) en sus distintas categorías.</w:t>
      </w:r>
    </w:p>
    <w:p>
      <w:r>
        <w:t xml:space="preserve">El objetivo último es disponer de un </w:t>
      </w:r>
      <w:r>
        <w:rPr>
          <w:b/>
        </w:rPr>
        <w:t>Índice Global de Madurez (IGM)</w:t>
      </w:r>
      <w:r>
        <w:t xml:space="preserve"> que permita:</w:t>
      </w:r>
    </w:p>
    <w:p>
      <w:pPr>
        <w:pStyle w:val="ListBullet"/>
        <w:keepLines w:val="1"/>
        <w:keepNext w:val="1"/>
        <w:widowControl w:val="1"/>
      </w:pPr>
      <w:r>
        <w:t>Comparar organizaciones y sectores.</w:t>
      </w:r>
    </w:p>
    <w:p>
      <w:pPr>
        <w:pStyle w:val="ListBullet"/>
        <w:keepLines w:val="1"/>
        <w:keepNext w:val="1"/>
        <w:widowControl w:val="1"/>
      </w:pPr>
      <w:r>
        <w:t>Identificar brechas y prioridades de mejora.</w:t>
      </w:r>
    </w:p>
    <w:p>
      <w:pPr>
        <w:pStyle w:val="ListBullet"/>
        <w:keepLines w:val="1"/>
        <w:widowControl w:val="1"/>
      </w:pPr>
      <w:r>
        <w:t>Alimentar políticas públicas y estrategias corporativas con datos, no solo con buenas intenciones.</w:t>
      </w:r>
    </w:p>
    <w:p>
      <w:pPr>
        <w:pStyle w:val="Heading2"/>
        <w:keepNext/>
        <w:keepLines/>
      </w:pPr>
      <w:r>
        <w:rPr>
          <w:color w:val="0066CC"/>
        </w:rPr>
        <w:t>2. Población objetivo y muestreo</w:t>
      </w:r>
    </w:p>
    <w:p>
      <w:pPr>
        <w:pStyle w:val="Heading3"/>
        <w:keepNext/>
        <w:keepLines/>
      </w:pPr>
      <w:r>
        <w:t>2.1. Población objetivo</w:t>
      </w:r>
    </w:p>
    <w:p>
      <w:r>
        <w:t>La población objetivo de la encuesta está formada por organizaciones:</w:t>
      </w:r>
    </w:p>
    <w:p>
      <w:pPr>
        <w:pStyle w:val="ListBullet"/>
        <w:keepLines w:val="1"/>
        <w:keepNext w:val="1"/>
        <w:widowControl w:val="1"/>
      </w:pPr>
      <w:r>
        <w:t>Sujetos directos de NIS2 (esenciales e importantes),</w:t>
      </w:r>
    </w:p>
    <w:p>
      <w:pPr>
        <w:pStyle w:val="ListBullet"/>
        <w:keepLines w:val="1"/>
        <w:keepNext w:val="1"/>
        <w:widowControl w:val="1"/>
      </w:pPr>
      <w:r>
        <w:t>Sujetos al ENS (por su relación con el sector público),</w:t>
      </w:r>
    </w:p>
    <w:p>
      <w:pPr>
        <w:pStyle w:val="ListBullet"/>
        <w:keepLines w:val="1"/>
        <w:widowControl w:val="1"/>
      </w:pPr>
      <w:r>
        <w:t>Proveedores TIC que prestan servicios relevantes a las anteriores.</w:t>
      </w:r>
    </w:p>
    <w:p>
      <w:pPr>
        <w:pStyle w:val="Heading3"/>
        <w:keepNext/>
        <w:keepLines/>
      </w:pPr>
      <w:r>
        <w:t>2.2. Unidad de análisis</w:t>
      </w:r>
    </w:p>
    <w:p>
      <w:r>
        <w:t xml:space="preserve">La unidad de análisis es la </w:t>
      </w:r>
      <w:r>
        <w:rPr>
          <w:b/>
        </w:rPr>
        <w:t>organización</w:t>
      </w:r>
      <w:r>
        <w:t xml:space="preserve"> (entidad legal) o, en su caso, una unidad de negocio suficientemente autónoma con:</w:t>
      </w:r>
    </w:p>
    <w:p>
      <w:pPr>
        <w:pStyle w:val="ListBullet"/>
        <w:keepLines w:val="1"/>
        <w:keepNext w:val="1"/>
        <w:widowControl w:val="1"/>
      </w:pPr>
      <w:r>
        <w:t>Gobierno de TI y ciberseguridad diferenciados.</w:t>
      </w:r>
    </w:p>
    <w:p>
      <w:pPr>
        <w:pStyle w:val="ListBullet"/>
        <w:keepLines w:val="1"/>
        <w:widowControl w:val="1"/>
      </w:pPr>
      <w:r>
        <w:t>Ambito claro de sistemas, aplicaciones y procesos.</w:t>
      </w:r>
    </w:p>
    <w:p>
      <w:pPr>
        <w:pStyle w:val="Heading3"/>
        <w:keepNext/>
        <w:keepLines/>
      </w:pPr>
      <w:r>
        <w:t>2.3. Selección y muestreo</w:t>
      </w:r>
    </w:p>
    <w:p>
      <w:r>
        <w:t>Se recomienda una combinación de:</w:t>
      </w:r>
    </w:p>
    <w:p>
      <w:pPr>
        <w:pStyle w:val="ListBullet"/>
        <w:keepLines w:val="1"/>
        <w:keepNext w:val="1"/>
        <w:widowControl w:val="1"/>
      </w:pPr>
      <w:r>
        <w:t>Muestreo intencional de organizaciones críticas (por tamaño, sector, impacto en servicios esenciales), y</w:t>
      </w:r>
    </w:p>
    <w:p>
      <w:pPr>
        <w:pStyle w:val="ListBullet"/>
        <w:keepLines w:val="1"/>
        <w:widowControl w:val="1"/>
      </w:pPr>
      <w:r>
        <w:t>Muestreo estratificado por sector y tamaño para obtener representatividad.</w:t>
      </w:r>
    </w:p>
    <w:p>
      <w:r>
        <w:t>Ejemplo de estratos:</w:t>
      </w:r>
    </w:p>
    <w:p>
      <w:pPr>
        <w:pStyle w:val="ListBullet"/>
        <w:keepLines w:val="1"/>
        <w:keepNext w:val="1"/>
        <w:widowControl w:val="1"/>
      </w:pPr>
      <w:r>
        <w:t>Sector (energía, transporte, salud, banca, administraciones públicas, TIC, etc.).</w:t>
      </w:r>
    </w:p>
    <w:p>
      <w:pPr>
        <w:pStyle w:val="ListBullet"/>
        <w:keepLines w:val="1"/>
        <w:keepNext w:val="1"/>
        <w:widowControl w:val="1"/>
      </w:pPr>
      <w:r>
        <w:t>Tamaño (PYME, mediana, gran organización).</w:t>
      </w:r>
    </w:p>
    <w:p>
      <w:pPr>
        <w:pStyle w:val="ListBullet"/>
        <w:keepLines w:val="1"/>
        <w:widowControl w:val="1"/>
      </w:pPr>
      <w:r>
        <w:t>Relación con ENS (no aplica, ENS básico, ENS medio, ENS alto).</w:t>
      </w:r>
    </w:p>
    <w:p>
      <w:pPr>
        <w:pStyle w:val="Heading2"/>
        <w:keepNext/>
        <w:keepLines/>
      </w:pPr>
      <w:r>
        <w:rPr>
          <w:color w:val="0066CC"/>
        </w:rPr>
        <w:t>3. Diseño de la encuesta y bloques temáticos</w:t>
      </w:r>
    </w:p>
    <w:p>
      <w:r>
        <w:t>La encuesta se organiza en bloques que reflejan tanto los marcos OWASP como las exigencias de NIS2/ENS:</w:t>
      </w:r>
    </w:p>
    <w:p>
      <w:pPr>
        <w:pStyle w:val="ListNumber"/>
        <w:keepLines w:val="1"/>
        <w:keepNext w:val="1"/>
        <w:widowControl w:val="1"/>
      </w:pPr>
      <w:r>
        <w:t>Perfil de la organización.</w:t>
      </w:r>
    </w:p>
    <w:p>
      <w:pPr>
        <w:pStyle w:val="ListNumber"/>
        <w:keepLines w:val="1"/>
        <w:keepNext w:val="1"/>
        <w:widowControl w:val="1"/>
      </w:pPr>
      <w:r>
        <w:t>Gobernanza, riesgo y métricas (visión general).</w:t>
      </w:r>
    </w:p>
    <w:p>
      <w:pPr>
        <w:pStyle w:val="ListNumber"/>
        <w:keepLines w:val="1"/>
        <w:keepNext w:val="1"/>
        <w:widowControl w:val="1"/>
      </w:pPr>
      <w:r>
        <w:t>OWASP Top 10:2025 (exposición y tratamiento).</w:t>
      </w:r>
    </w:p>
    <w:p>
      <w:pPr>
        <w:pStyle w:val="ListNumber"/>
        <w:keepLines w:val="1"/>
        <w:keepNext w:val="1"/>
        <w:widowControl w:val="1"/>
      </w:pPr>
      <w:r>
        <w:t>OWASP SAMM (madurez de programa).</w:t>
      </w:r>
    </w:p>
    <w:p>
      <w:pPr>
        <w:pStyle w:val="ListNumber"/>
        <w:keepLines w:val="1"/>
        <w:keepNext w:val="1"/>
        <w:widowControl w:val="1"/>
      </w:pPr>
      <w:r>
        <w:t>OWASP ASVS 5.0 (verificación técnica).</w:t>
      </w:r>
    </w:p>
    <w:p>
      <w:pPr>
        <w:pStyle w:val="ListNumber"/>
        <w:keepLines w:val="1"/>
        <w:keepNext w:val="1"/>
        <w:widowControl w:val="1"/>
      </w:pPr>
      <w:r>
        <w:t>Metodología OWASP de Rating de Riesgo.</w:t>
      </w:r>
    </w:p>
    <w:p>
      <w:pPr>
        <w:pStyle w:val="ListNumber"/>
        <w:keepLines w:val="1"/>
        <w:keepNext w:val="1"/>
        <w:widowControl w:val="1"/>
      </w:pPr>
      <w:r>
        <w:t>Cultura, formación y capacidades humanas.</w:t>
      </w:r>
    </w:p>
    <w:p>
      <w:pPr>
        <w:pStyle w:val="ListNumber"/>
        <w:keepLines w:val="1"/>
        <w:keepNext w:val="1"/>
        <w:widowControl w:val="1"/>
      </w:pPr>
      <w:r>
        <w:t>Cadena de suministro y terceros.</w:t>
      </w:r>
    </w:p>
    <w:p>
      <w:pPr>
        <w:pStyle w:val="ListNumber"/>
        <w:keepLines w:val="1"/>
        <w:keepNext w:val="1"/>
        <w:widowControl w:val="1"/>
      </w:pPr>
      <w:r>
        <w:t>Operaciones, incidentes y continuidad.</w:t>
      </w:r>
    </w:p>
    <w:p>
      <w:pPr>
        <w:pStyle w:val="ListNumber"/>
        <w:keepLines w:val="1"/>
        <w:widowControl w:val="1"/>
      </w:pPr>
      <w:r>
        <w:t>Resultados globales y compromiso (opcional, en versiones extendidas).</w:t>
      </w:r>
    </w:p>
    <w:p>
      <w:r>
        <w:t>Cada bloque incluye preguntas cerradas con opciones diseñadas para:</w:t>
      </w:r>
    </w:p>
    <w:p>
      <w:pPr>
        <w:pStyle w:val="ListBullet"/>
        <w:keepLines w:val="1"/>
        <w:keepNext w:val="1"/>
        <w:widowControl w:val="1"/>
      </w:pPr>
      <w:r>
        <w:t>Minimizar sesgos de deseabilidad social (evitar que todas las respuestas “correctas” suenen obvias).</w:t>
      </w:r>
    </w:p>
    <w:p>
      <w:pPr>
        <w:pStyle w:val="ListBullet"/>
        <w:keepLines w:val="1"/>
        <w:keepNext w:val="1"/>
        <w:widowControl w:val="1"/>
      </w:pPr>
      <w:r>
        <w:t>Permitir una codificación numérica clara (para índices y KPIs).</w:t>
      </w:r>
    </w:p>
    <w:p>
      <w:pPr>
        <w:pStyle w:val="ListBullet"/>
        <w:keepLines w:val="1"/>
        <w:widowControl w:val="1"/>
      </w:pPr>
      <w:r>
        <w:t>Introducir, con moderación, un tono irónico y narrativo que invite a la reflexión honesta.</w:t>
      </w:r>
    </w:p>
    <w:p>
      <w:pPr>
        <w:pStyle w:val="Heading2"/>
        <w:keepNext/>
        <w:keepLines/>
      </w:pPr>
      <w:r>
        <w:rPr>
          <w:color w:val="0066CC"/>
        </w:rPr>
        <w:t>4. Escalas de respuesta y codificación</w:t>
      </w:r>
    </w:p>
    <w:p>
      <w:pPr>
        <w:pStyle w:val="Heading3"/>
        <w:keepNext/>
        <w:keepLines/>
      </w:pPr>
      <w:r>
        <w:t>4.1. Tipos de preguntas</w:t>
      </w:r>
    </w:p>
    <w:p>
      <w:r>
        <w:t>Se utilizan principalmente:</w:t>
      </w:r>
    </w:p>
    <w:p>
      <w:pPr>
        <w:pStyle w:val="ListBullet"/>
        <w:keepLines w:val="1"/>
        <w:keepNext w:val="1"/>
        <w:widowControl w:val="1"/>
      </w:pPr>
      <w:r>
        <w:t>Elección única categórica (por ejemplo, 0–25 %, 26–50 %, etc.).</w:t>
      </w:r>
    </w:p>
    <w:p>
      <w:pPr>
        <w:pStyle w:val="ListBullet"/>
        <w:keepLines w:val="1"/>
        <w:keepNext w:val="1"/>
        <w:widowControl w:val="1"/>
      </w:pPr>
      <w:r>
        <w:t>Múltiple respuesta (varias opciones que pueden aplicar simultáneamente).</w:t>
      </w:r>
    </w:p>
    <w:p>
      <w:pPr>
        <w:pStyle w:val="ListBullet"/>
        <w:keepLines w:val="1"/>
        <w:widowControl w:val="1"/>
      </w:pPr>
      <w:r>
        <w:t>Escalas ordinales (por ejemplo, “No, parcial, sí”).</w:t>
      </w:r>
    </w:p>
    <w:p>
      <w:r>
        <w:t>En las versiones avanzadas se puede añadir:</w:t>
      </w:r>
    </w:p>
    <w:p>
      <w:pPr>
        <w:pStyle w:val="ListBullet"/>
        <w:keepLines w:val="1"/>
        <w:widowControl w:val="1"/>
      </w:pPr>
      <w:r>
        <w:t>Escalas tipo Likert de 1 a 5 (totalmente en desacuerdo – totalmente de acuerdo) para evaluar percepciones.</w:t>
      </w:r>
    </w:p>
    <w:p>
      <w:pPr>
        <w:pStyle w:val="Heading3"/>
        <w:keepNext/>
        <w:keepLines/>
      </w:pPr>
      <w:r>
        <w:t>4.2. Codificación sugerida</w:t>
      </w:r>
    </w:p>
    <w:p>
      <w:r>
        <w:t>Ejemplo para porcentajes:</w:t>
      </w:r>
    </w:p>
    <w:p>
      <w:pPr>
        <w:pStyle w:val="ListBullet"/>
        <w:keepLines w:val="1"/>
        <w:keepNext w:val="1"/>
        <w:widowControl w:val="1"/>
      </w:pPr>
      <w:r>
        <w:t>0–25 % → 1.</w:t>
      </w:r>
    </w:p>
    <w:p>
      <w:pPr>
        <w:pStyle w:val="ListBullet"/>
        <w:keepLines w:val="1"/>
        <w:keepNext w:val="1"/>
        <w:widowControl w:val="1"/>
      </w:pPr>
      <w:r>
        <w:t>26–50 % → 2.</w:t>
      </w:r>
    </w:p>
    <w:p>
      <w:pPr>
        <w:pStyle w:val="ListBullet"/>
        <w:keepLines w:val="1"/>
        <w:keepNext w:val="1"/>
        <w:widowControl w:val="1"/>
      </w:pPr>
      <w:r>
        <w:t>51–75 % → 3.</w:t>
      </w:r>
    </w:p>
    <w:p>
      <w:pPr>
        <w:pStyle w:val="ListBullet"/>
        <w:keepLines w:val="1"/>
        <w:widowControl w:val="1"/>
      </w:pPr>
      <w:r>
        <w:t>76–100 % → 4.</w:t>
      </w:r>
    </w:p>
    <w:p>
      <w:r>
        <w:t>Ejemplo para madurez SAMM (niveles 0–3):</w:t>
      </w:r>
    </w:p>
    <w:p>
      <w:pPr>
        <w:pStyle w:val="ListBullet"/>
        <w:keepLines w:val="1"/>
        <w:keepNext w:val="1"/>
        <w:widowControl w:val="1"/>
      </w:pPr>
      <w:r>
        <w:t>Nivel 0 → 0.</w:t>
      </w:r>
    </w:p>
    <w:p>
      <w:pPr>
        <w:pStyle w:val="ListBullet"/>
        <w:keepLines w:val="1"/>
        <w:keepNext w:val="1"/>
        <w:widowControl w:val="1"/>
      </w:pPr>
      <w:r>
        <w:t>Nivel 1 → 1.</w:t>
      </w:r>
    </w:p>
    <w:p>
      <w:pPr>
        <w:pStyle w:val="ListBullet"/>
        <w:keepLines w:val="1"/>
        <w:keepNext w:val="1"/>
        <w:widowControl w:val="1"/>
      </w:pPr>
      <w:r>
        <w:t>Nivel 2 → 2.</w:t>
      </w:r>
    </w:p>
    <w:p>
      <w:pPr>
        <w:pStyle w:val="ListBullet"/>
        <w:keepLines w:val="1"/>
        <w:widowControl w:val="1"/>
      </w:pPr>
      <w:r>
        <w:t>Nivel 3 → 3.</w:t>
      </w:r>
    </w:p>
    <w:p>
      <w:r>
        <w:t>Ejemplo para conocimiento/uso:</w:t>
      </w:r>
    </w:p>
    <w:p>
      <w:pPr>
        <w:pStyle w:val="ListBullet"/>
        <w:keepLines w:val="1"/>
        <w:keepNext w:val="1"/>
        <w:widowControl w:val="1"/>
      </w:pPr>
      <w:r>
        <w:t>No se conoce → 0.</w:t>
      </w:r>
    </w:p>
    <w:p>
      <w:pPr>
        <w:pStyle w:val="ListBullet"/>
        <w:keepLines w:val="1"/>
        <w:keepNext w:val="1"/>
        <w:widowControl w:val="1"/>
      </w:pPr>
      <w:r>
        <w:t>Se conoce pero no se aplica → 1.</w:t>
      </w:r>
    </w:p>
    <w:p>
      <w:pPr>
        <w:pStyle w:val="ListBullet"/>
        <w:keepLines w:val="1"/>
        <w:keepNext w:val="1"/>
        <w:widowControl w:val="1"/>
      </w:pPr>
      <w:r>
        <w:t>Se aplica parcialmente → 2.</w:t>
      </w:r>
    </w:p>
    <w:p>
      <w:pPr>
        <w:pStyle w:val="ListBullet"/>
        <w:keepLines w:val="1"/>
        <w:widowControl w:val="1"/>
      </w:pPr>
      <w:r>
        <w:t>Se aplica sistemáticamente → 3.</w:t>
      </w:r>
    </w:p>
    <w:p>
      <w:r>
        <w:t>La guía técnica (plantilla Excel) detallará la codificación exacta para cada pregunta.</w:t>
      </w:r>
    </w:p>
    <w:p>
      <w:pPr>
        <w:pStyle w:val="Heading2"/>
        <w:keepNext/>
        <w:keepLines/>
      </w:pPr>
      <w:r>
        <w:rPr>
          <w:color w:val="0066CC"/>
        </w:rPr>
        <w:t>5. Cálculo del Índice Global de Madurez (IGM)</w:t>
      </w:r>
    </w:p>
    <w:p>
      <w:pPr>
        <w:pStyle w:val="Heading3"/>
        <w:keepNext/>
        <w:keepLines/>
      </w:pPr>
      <w:r>
        <w:t>5.1. Estructura del IGM</w:t>
      </w:r>
    </w:p>
    <w:p>
      <w:r>
        <w:t>Se propone que el IGM se componga de cuatro subíndices principales:</w:t>
      </w:r>
    </w:p>
    <w:p>
      <w:pPr>
        <w:pStyle w:val="ListNumber"/>
        <w:keepLines w:val="1"/>
        <w:keepNext w:val="1"/>
        <w:widowControl w:val="1"/>
      </w:pPr>
      <w:r>
        <w:br/>
        <w:t>IGM-Exposición OWASP (Top 10)</w:t>
        <w:br/>
        <w:t xml:space="preserve">   Mide la capacidad de la organización para conocer, detectar y remediar vulnerabilidades alineadas con el Top 10.</w:t>
        <w:br/>
      </w:r>
    </w:p>
    <w:p>
      <w:pPr>
        <w:pStyle w:val="ListNumber"/>
        <w:keepLines w:val="1"/>
        <w:keepNext w:val="1"/>
        <w:widowControl w:val="1"/>
      </w:pPr>
      <w:r>
        <w:br/>
        <w:t>IGM-Madurez de Programa (SAMM)</w:t>
        <w:br/>
        <w:t xml:space="preserve">   Evalúa la madurez de procesos de seguridad de software según prácticas clave de SAMM (especialmente Gobernanza, Verificación y Operaciones).</w:t>
        <w:br/>
      </w:r>
    </w:p>
    <w:p>
      <w:pPr>
        <w:pStyle w:val="ListNumber"/>
        <w:keepLines w:val="1"/>
        <w:keepNext w:val="1"/>
        <w:widowControl w:val="1"/>
      </w:pPr>
      <w:r>
        <w:br/>
        <w:t>IGM-Aseguramiento Técnico (ASVS)</w:t>
        <w:br/>
        <w:t xml:space="preserve">   Refleja el nivel de verificación de aplicaciones según ASVS (niveles, cobertura de requisitos y pruebas).</w:t>
        <w:br/>
      </w:r>
    </w:p>
    <w:p>
      <w:pPr>
        <w:pStyle w:val="ListNumber"/>
        <w:keepLines w:val="1"/>
        <w:widowControl w:val="1"/>
      </w:pPr>
      <w:r>
        <w:br/>
        <w:t>IGM-Gobernanza y Cultura</w:t>
        <w:br/>
        <w:t xml:space="preserve">   Mide la integración de la ciberseguridad en la alta dirección, el uso de métricas, la formación, la cultura de reporte y la gestión de la cadena de suministro.</w:t>
        <w:br/>
      </w:r>
    </w:p>
    <w:p>
      <w:r>
        <w:rPr>
          <w:b/>
        </w:rPr>
        <w:t>IGM-Exposición OWASP (Top 10)</w:t>
      </w:r>
      <w:r/>
      <w:r>
        <w:br/>
        <w:t xml:space="preserve">   Mide la capacidad de la organización para conocer, detectar y remediar vulnerabilidades alineadas con el Top 10.</w:t>
      </w:r>
    </w:p>
    <w:p>
      <w:r>
        <w:rPr>
          <w:b/>
        </w:rPr>
        <w:t>IGM-Madurez de Programa (SAMM)</w:t>
      </w:r>
      <w:r/>
      <w:r>
        <w:br/>
        <w:t xml:space="preserve">   Evalúa la madurez de procesos de seguridad de software según prácticas clave de SAMM (especialmente Gobernanza, Verificación y Operaciones).</w:t>
      </w:r>
    </w:p>
    <w:p>
      <w:r>
        <w:rPr>
          <w:b/>
        </w:rPr>
        <w:t>IGM-Aseguramiento Técnico (ASVS)</w:t>
      </w:r>
      <w:r/>
      <w:r>
        <w:br/>
        <w:t xml:space="preserve">   Refleja el nivel de verificación de aplicaciones según ASVS (niveles, cobertura de requisitos y pruebas).</w:t>
      </w:r>
    </w:p>
    <w:p>
      <w:r>
        <w:rPr>
          <w:b/>
        </w:rPr>
        <w:t>IGM-Gobernanza y Cultura</w:t>
      </w:r>
      <w:r/>
      <w:r>
        <w:br/>
        <w:t xml:space="preserve">   Mide la integración de la ciberseguridad en la alta dirección, el uso de métricas, la formación, la cultura de reporte y la gestión de la cadena de suministro.</w:t>
      </w:r>
    </w:p>
    <w:p>
      <w:r>
        <w:t>Cada subíndice se calcula en una escala de 0 a 100 y el IGM global se obtiene como media ponderada.</w:t>
      </w:r>
    </w:p>
    <w:p>
      <w:pPr>
        <w:pStyle w:val="Heading3"/>
        <w:keepNext/>
        <w:keepLines/>
      </w:pPr>
      <w:r>
        <w:t>5.2. Selección de variables por subíndice</w:t>
      </w:r>
    </w:p>
    <w:p>
      <w:r>
        <w:t>Ejemplo de asignación (a ajustar en función de las necesidades):</w:t>
      </w:r>
    </w:p>
    <w:p>
      <w:pPr>
        <w:pStyle w:val="ListBullet"/>
        <w:keepLines w:val="1"/>
        <w:keepNext w:val="1"/>
        <w:widowControl w:val="1"/>
      </w:pPr>
      <w:r>
        <w:br/>
        <w:t>IGM-Exposición OWASP (Top 10)</w:t>
        <w:br/>
        <w:t xml:space="preserve">  Variables: P3.2, P3.3, P3.4, P3.5, P3.6.</w:t>
        <w:br/>
      </w:r>
    </w:p>
    <w:p>
      <w:pPr>
        <w:pStyle w:val="ListBullet"/>
        <w:keepLines w:val="1"/>
        <w:keepNext w:val="1"/>
        <w:widowControl w:val="1"/>
      </w:pPr>
      <w:r>
        <w:br/>
        <w:t>IGM-Madurez de Programa (SAMM)</w:t>
        <w:br/>
        <w:t xml:space="preserve">  Variables: P4.1–P4.6.</w:t>
        <w:br/>
      </w:r>
    </w:p>
    <w:p>
      <w:pPr>
        <w:pStyle w:val="ListBullet"/>
        <w:keepLines w:val="1"/>
        <w:keepNext w:val="1"/>
        <w:widowControl w:val="1"/>
      </w:pPr>
      <w:r>
        <w:br/>
        <w:t>IGM-Aseguramiento Técnico (ASVS)</w:t>
        <w:br/>
        <w:t xml:space="preserve">  Variables: P5.1–P5.6.</w:t>
        <w:br/>
      </w:r>
    </w:p>
    <w:p>
      <w:pPr>
        <w:pStyle w:val="ListBullet"/>
        <w:keepLines w:val="1"/>
        <w:widowControl w:val="1"/>
      </w:pPr>
      <w:r>
        <w:br/>
        <w:t>IGM-Gobernanza y Cultura</w:t>
        <w:br/>
        <w:t xml:space="preserve">  Variables: P2.1–P2.5, P6.1–P6.5, P7.1–P7.5, P8.1–P8.4, P9.1–P9.3.</w:t>
        <w:br/>
      </w:r>
    </w:p>
    <w:p>
      <w:r>
        <w:rPr>
          <w:b/>
        </w:rPr>
        <w:t>IGM-Exposición OWASP (Top 10)</w:t>
      </w:r>
      <w:r/>
      <w:r>
        <w:br/>
        <w:t xml:space="preserve">  Variables: P3.2, P3.3, P3.4, P3.5, P3.6.</w:t>
      </w:r>
    </w:p>
    <w:p>
      <w:r>
        <w:rPr>
          <w:b/>
        </w:rPr>
        <w:t>IGM-Madurez de Programa (SAMM)</w:t>
      </w:r>
      <w:r/>
      <w:r>
        <w:br/>
        <w:t xml:space="preserve">  Variables: P4.1–P4.6.</w:t>
      </w:r>
    </w:p>
    <w:p>
      <w:r>
        <w:rPr>
          <w:b/>
        </w:rPr>
        <w:t>IGM-Aseguramiento Técnico (ASVS)</w:t>
      </w:r>
      <w:r/>
      <w:r>
        <w:br/>
        <w:t xml:space="preserve">  Variables: P5.1–P5.6.</w:t>
      </w:r>
    </w:p>
    <w:p>
      <w:r>
        <w:rPr>
          <w:b/>
        </w:rPr>
        <w:t>IGM-Gobernanza y Cultura</w:t>
      </w:r>
      <w:r/>
      <w:r>
        <w:br/>
        <w:t xml:space="preserve">  Variables: P2.1–P2.5, P6.1–P6.5, P7.1–P7.5, P8.1–P8.4, P9.1–P9.3.</w:t>
      </w:r>
    </w:p>
    <w:p>
      <w:pPr>
        <w:pStyle w:val="Heading3"/>
        <w:keepNext/>
        <w:keepLines/>
      </w:pPr>
      <w:r>
        <w:t>5.3. Normalización y ponderación</w:t>
      </w:r>
    </w:p>
    <w:p>
      <w:pPr>
        <w:pStyle w:val="ListNumber"/>
        <w:keepLines w:val="1"/>
        <w:keepNext w:val="1"/>
        <w:widowControl w:val="1"/>
      </w:pPr>
      <w:r>
        <w:t>Normalización:</w:t>
        <w:br/>
        <w:t xml:space="preserve">   Cada pregunta se transforma en una escala 0–100 siguiendo reglas predefinidas; por ejemplo:</w:t>
      </w:r>
    </w:p>
    <w:p>
      <w:pPr>
        <w:pStyle w:val="ListNumber"/>
        <w:keepLines w:val="1"/>
        <w:keepNext w:val="1"/>
        <w:widowControl w:val="1"/>
      </w:pPr>
      <w:r>
        <w:t>Peor situación posible → 0.</w:t>
      </w:r>
    </w:p>
    <w:p>
      <w:pPr>
        <w:pStyle w:val="ListNumber"/>
        <w:keepLines w:val="1"/>
        <w:keepNext w:val="1"/>
        <w:widowControl w:val="1"/>
      </w:pPr>
      <w:r>
        <w:t>Mejor situación posible → 100.</w:t>
      </w:r>
    </w:p>
    <w:p>
      <w:pPr>
        <w:pStyle w:val="ListNumber"/>
        <w:keepLines w:val="1"/>
        <w:keepNext w:val="1"/>
        <w:widowControl w:val="1"/>
      </w:pPr>
      <w:r>
        <w:br/>
        <w:t>Valores intermedios equiespaciados.</w:t>
        <w:br/>
      </w:r>
    </w:p>
    <w:p>
      <w:pPr>
        <w:pStyle w:val="ListNumber"/>
        <w:keepLines w:val="1"/>
        <w:keepNext w:val="1"/>
        <w:widowControl w:val="1"/>
      </w:pPr>
      <w:r>
        <w:br/>
        <w:t>Ponderación interna:</w:t>
        <w:br/>
        <w:t xml:space="preserve">   Dentro de cada subíndice, se puede optar por:</w:t>
        <w:br/>
      </w:r>
    </w:p>
    <w:p>
      <w:pPr>
        <w:pStyle w:val="ListNumber"/>
        <w:keepLines w:val="1"/>
        <w:keepNext w:val="1"/>
        <w:widowControl w:val="1"/>
      </w:pPr>
      <w:r>
        <w:t>Ponderación igualitaria de todas las preguntas.</w:t>
      </w:r>
    </w:p>
    <w:p>
      <w:pPr>
        <w:pStyle w:val="ListNumber"/>
        <w:keepLines w:val="1"/>
        <w:keepNext w:val="1"/>
        <w:widowControl w:val="1"/>
      </w:pPr>
      <w:r>
        <w:br/>
        <w:t>Ponderaciones diferenciadas basadas en consenso experto (por ejemplo, más peso a MTTR o a participación de la alta dirección).</w:t>
        <w:br/>
      </w:r>
    </w:p>
    <w:p>
      <w:pPr>
        <w:pStyle w:val="ListNumber"/>
        <w:keepLines w:val="1"/>
        <w:keepNext w:val="1"/>
        <w:widowControl w:val="1"/>
      </w:pPr>
      <w:r>
        <w:br/>
        <w:t>Ponderación global:</w:t>
        <w:br/>
        <w:t xml:space="preserve">   El IGM puede ser:</w:t>
        <w:br/>
      </w:r>
    </w:p>
    <w:p>
      <w:pPr>
        <w:pStyle w:val="ListNumber"/>
        <w:keepLines w:val="1"/>
        <w:keepNext w:val="1"/>
        <w:widowControl w:val="1"/>
      </w:pPr>
      <w:r>
        <w:br/>
        <w:t>Una media simple de los cuatro subíndices (25 % cada uno), o</w:t>
        <w:br/>
      </w:r>
    </w:p>
    <w:p>
      <w:pPr>
        <w:pStyle w:val="ListNumber"/>
        <w:keepLines w:val="1"/>
        <w:widowControl w:val="1"/>
      </w:pPr>
      <w:r>
        <w:t>Una media ponderada (por ejemplo, más peso a Gobernanza y Cultura en sectores altamente regulados).</w:t>
      </w:r>
    </w:p>
    <w:p>
      <w:r>
        <w:t>Valores intermedios equiespaciados.</w:t>
      </w:r>
    </w:p>
    <w:p>
      <w:r>
        <w:rPr>
          <w:b/>
        </w:rPr>
        <w:t>Ponderación interna:</w:t>
      </w:r>
      <w:r/>
      <w:r>
        <w:br/>
        <w:t xml:space="preserve">   Dentro de cada subíndice, se puede optar por:</w:t>
      </w:r>
    </w:p>
    <w:p>
      <w:r>
        <w:t>Ponderaciones diferenciadas basadas en consenso experto (por ejemplo, más peso a MTTR o a participación de la alta dirección).</w:t>
      </w:r>
    </w:p>
    <w:p>
      <w:r>
        <w:rPr>
          <w:b/>
        </w:rPr>
        <w:t>Ponderación global:</w:t>
      </w:r>
      <w:r/>
      <w:r>
        <w:br/>
        <w:t xml:space="preserve">   El IGM puede ser:</w:t>
      </w:r>
    </w:p>
    <w:p>
      <w:r>
        <w:t>Una media simple de los cuatro subíndices (25 % cada uno), o</w:t>
      </w:r>
    </w:p>
    <w:p>
      <w:r>
        <w:t>La plantilla Excel incluirá los coeficientes de ponderación para permitir la personalización.</w:t>
      </w:r>
    </w:p>
    <w:p>
      <w:pPr>
        <w:pStyle w:val="Heading2"/>
        <w:keepNext/>
        <w:keepLines/>
      </w:pPr>
      <w:r>
        <w:rPr>
          <w:color w:val="0066CC"/>
        </w:rPr>
        <w:t>6. ROI de seguridad (enfoque conceptual)</w:t>
      </w:r>
    </w:p>
    <w:p>
      <w:r>
        <w:t xml:space="preserve">La plantilla incluye una estimación del </w:t>
      </w:r>
      <w:r>
        <w:rPr>
          <w:b/>
        </w:rPr>
        <w:t>ROI de ciberseguridad</w:t>
      </w:r>
      <w:r>
        <w:t xml:space="preserve"> basada en dos componentes:</w:t>
      </w:r>
    </w:p>
    <w:p>
      <w:pPr>
        <w:pStyle w:val="ListNumber"/>
        <w:keepLines w:val="1"/>
        <w:keepNext w:val="1"/>
        <w:widowControl w:val="1"/>
      </w:pPr>
      <w:r>
        <w:br/>
        <w:t>Reducción de riesgo estimada</w:t>
        <w:br/>
        <w:t xml:space="preserve">   A partir de indicadores antes/después (por ejemplo, descenso de vulnerabilidades críticas, mejora de MTTR, reducción de incidentes graves), se estima el valor económico del riesgo evitado.</w:t>
        <w:br/>
      </w:r>
    </w:p>
    <w:p>
      <w:pPr>
        <w:pStyle w:val="ListNumber"/>
        <w:keepLines w:val="1"/>
        <w:widowControl w:val="1"/>
      </w:pPr>
      <w:r>
        <w:br/>
        <w:t>Costes de inversión y operación</w:t>
        <w:br/>
        <w:t xml:space="preserve">   Se consolidan costes de proyectos, personal, herramientas y servicios relacionados con las mejoras de seguridad implementadas.</w:t>
        <w:br/>
      </w:r>
    </w:p>
    <w:p>
      <w:r>
        <w:rPr>
          <w:b/>
        </w:rPr>
        <w:t>Reducción de riesgo estimada</w:t>
      </w:r>
      <w:r/>
      <w:r>
        <w:br/>
        <w:t xml:space="preserve">   A partir de indicadores antes/después (por ejemplo, descenso de vulnerabilidades críticas, mejora de MTTR, reducción de incidentes graves), se estima el valor económico del riesgo evitado.</w:t>
      </w:r>
    </w:p>
    <w:p>
      <w:r>
        <w:rPr>
          <w:b/>
        </w:rPr>
        <w:t>Costes de inversión y operación</w:t>
      </w:r>
      <w:r/>
      <w:r>
        <w:br/>
        <w:t xml:space="preserve">   Se consolidan costes de proyectos, personal, herramientas y servicios relacionados con las mejoras de seguridad implementadas.</w:t>
      </w:r>
    </w:p>
    <w:p>
      <w:r>
        <w:t>La fórmula conceptual es:</w:t>
      </w:r>
    </w:p>
    <w:p>
      <w:r>
        <w:t>ROI aproximado = (Riesgo evitado – Costes de seguridad) / Costes de seguridad</w:t>
      </w:r>
    </w:p>
    <w:p>
      <w:r>
        <w:t>Dado que la estimación de “riesgo evitado” implica supuestos y modelos propios, la plantilla proporciona campos para que cada organización introduzca sus parámetros (por ejemplo, coste promedio de incidente, probabilidad estimada de ocurrencia, etc.).</w:t>
      </w:r>
    </w:p>
    <w:p>
      <w:pPr>
        <w:pStyle w:val="Heading2"/>
        <w:keepNext/>
        <w:keepLines/>
      </w:pPr>
      <w:r>
        <w:rPr>
          <w:color w:val="0066CC"/>
        </w:rPr>
        <w:t>7. Plan de implementación de la encuesta</w:t>
      </w:r>
    </w:p>
    <w:p>
      <w:pPr>
        <w:pStyle w:val="Heading3"/>
        <w:keepNext/>
        <w:keepLines/>
      </w:pPr>
      <w:r>
        <w:t>7.1. Fases sugeridas</w:t>
      </w:r>
    </w:p>
    <w:p>
      <w:pPr>
        <w:pStyle w:val="ListNumber"/>
        <w:keepLines w:val="1"/>
        <w:keepNext w:val="1"/>
        <w:widowControl w:val="1"/>
      </w:pPr>
      <w:r>
        <w:br/>
        <w:t>Diseño y adaptación sectorial</w:t>
        <w:br/>
        <w:t xml:space="preserve">   Ajustar terminología, ejemplos y bloques a las peculiaridades de cada sector (salud, energía, banca, administración pública, etc.).</w:t>
        <w:br/>
      </w:r>
    </w:p>
    <w:p>
      <w:pPr>
        <w:pStyle w:val="ListNumber"/>
        <w:keepLines w:val="1"/>
        <w:keepNext w:val="1"/>
        <w:widowControl w:val="1"/>
      </w:pPr>
      <w:r>
        <w:br/>
        <w:t>Piloto controlado</w:t>
        <w:br/>
        <w:t xml:space="preserve">   Ejecutar la encuesta en un grupo reducido de organizaciones voluntarias para depurar preguntas y tiempos de respuesta.</w:t>
        <w:br/>
      </w:r>
    </w:p>
    <w:p>
      <w:pPr>
        <w:pStyle w:val="ListNumber"/>
        <w:keepLines w:val="1"/>
        <w:keepNext w:val="1"/>
        <w:widowControl w:val="1"/>
      </w:pPr>
      <w:r>
        <w:br/>
        <w:t>Despliegue nacional</w:t>
        <w:br/>
        <w:t xml:space="preserve">   Ampliar a la población objetivo con acompañamiento (sesiones informativas, soporte técnico y metodológico).</w:t>
        <w:br/>
      </w:r>
    </w:p>
    <w:p>
      <w:pPr>
        <w:pStyle w:val="ListNumber"/>
        <w:keepLines w:val="1"/>
        <w:widowControl w:val="1"/>
      </w:pPr>
      <w:r>
        <w:br/>
        <w:t>Análisis y retroalimentación</w:t>
        <w:br/>
        <w:t xml:space="preserve">   Generar informes sectoriales y generales, compartir resultados agregados y revisar las preguntas para futuras ediciones.</w:t>
        <w:br/>
      </w:r>
    </w:p>
    <w:p>
      <w:r>
        <w:rPr>
          <w:b/>
        </w:rPr>
        <w:t>Diseño y adaptación sectorial</w:t>
      </w:r>
      <w:r/>
      <w:r>
        <w:br/>
        <w:t xml:space="preserve">   Ajustar terminología, ejemplos y bloques a las peculiaridades de cada sector (salud, energía, banca, administración pública, etc.).</w:t>
      </w:r>
    </w:p>
    <w:p>
      <w:r>
        <w:rPr>
          <w:b/>
        </w:rPr>
        <w:t>Piloto controlado</w:t>
      </w:r>
      <w:r/>
      <w:r>
        <w:br/>
        <w:t xml:space="preserve">   Ejecutar la encuesta en un grupo reducido de organizaciones voluntarias para depurar preguntas y tiempos de respuesta.</w:t>
      </w:r>
    </w:p>
    <w:p>
      <w:r>
        <w:rPr>
          <w:b/>
        </w:rPr>
        <w:t>Despliegue nacional</w:t>
      </w:r>
      <w:r/>
      <w:r>
        <w:br/>
        <w:t xml:space="preserve">   Ampliar a la población objetivo con acompañamiento (sesiones informativas, soporte técnico y metodológico).</w:t>
      </w:r>
    </w:p>
    <w:p>
      <w:r>
        <w:rPr>
          <w:b/>
        </w:rPr>
        <w:t>Análisis y retroalimentación</w:t>
      </w:r>
      <w:r/>
      <w:r>
        <w:br/>
        <w:t xml:space="preserve">   Generar informes sectoriales y generales, compartir resultados agregados y revisar las preguntas para futuras ediciones.</w:t>
      </w:r>
    </w:p>
    <w:p>
      <w:pPr>
        <w:pStyle w:val="Heading3"/>
        <w:keepNext/>
        <w:keepLines/>
      </w:pPr>
      <w:r>
        <w:t>7.2. Canales de distribución</w:t>
      </w:r>
    </w:p>
    <w:p>
      <w:pPr>
        <w:pStyle w:val="ListBullet"/>
        <w:keepLines w:val="1"/>
        <w:keepNext w:val="1"/>
        <w:widowControl w:val="1"/>
      </w:pPr>
      <w:r>
        <w:t>Formularios online (preferentemente seguros y alojados en Europa).</w:t>
      </w:r>
    </w:p>
    <w:p>
      <w:pPr>
        <w:pStyle w:val="ListBullet"/>
        <w:keepLines w:val="1"/>
        <w:widowControl w:val="1"/>
      </w:pPr>
      <w:r>
        <w:t>Versiones descargables en formato PDF/Markdown para aquellas organizaciones que prefieran respuesta offline, con posterior carga manual.</w:t>
      </w:r>
    </w:p>
    <w:p>
      <w:pPr>
        <w:pStyle w:val="Heading3"/>
        <w:keepNext/>
        <w:keepLines/>
      </w:pPr>
      <w:r>
        <w:t>7.3. Duración estimada</w:t>
      </w:r>
    </w:p>
    <w:p>
      <w:r>
        <w:t xml:space="preserve">Para una organización con información razonablemente estructurada, el tiempo estimado para completar la encuesta oscila entre </w:t>
      </w:r>
      <w:r>
        <w:rPr>
          <w:b/>
        </w:rPr>
        <w:t>45 y 90 minutos</w:t>
      </w:r>
      <w:r>
        <w:t>, dependiendo del grado de detalle aportado en comentarios.</w:t>
      </w:r>
    </w:p>
    <w:p>
      <w:pPr>
        <w:pStyle w:val="Heading2"/>
        <w:keepNext/>
        <w:keepLines/>
      </w:pPr>
      <w:r>
        <w:rPr>
          <w:color w:val="0066CC"/>
        </w:rPr>
        <w:t>8. Consideraciones éticas y de confidencialidad</w:t>
      </w:r>
    </w:p>
    <w:p>
      <w:pPr>
        <w:pStyle w:val="ListBullet"/>
        <w:keepLines w:val="1"/>
        <w:keepNext w:val="1"/>
        <w:widowControl w:val="1"/>
      </w:pPr>
      <w:r>
        <w:t>Los datos individuales de las organizaciones deben tratarse con confidencialidad estricta y almacenarse de forma segura.</w:t>
      </w:r>
    </w:p>
    <w:p>
      <w:pPr>
        <w:pStyle w:val="ListBullet"/>
        <w:keepLines w:val="1"/>
        <w:keepNext w:val="1"/>
        <w:widowControl w:val="1"/>
      </w:pPr>
      <w:r>
        <w:t>Los resultados publicados deben ser siempre agregados (por sector, tamaño, tipo de entidad) salvo acuerdo explícito para casos particulares.</w:t>
      </w:r>
    </w:p>
    <w:p>
      <w:pPr>
        <w:pStyle w:val="ListBullet"/>
        <w:keepLines w:val="1"/>
        <w:widowControl w:val="1"/>
      </w:pPr>
      <w:r>
        <w:t>Se recomienda ofrecer a las organizaciones participantes un informe de retorno que compare su posición con el promedio sectorial y global.</w:t>
      </w:r>
    </w:p>
    <w:p>
      <w:pPr>
        <w:pStyle w:val="Heading2"/>
        <w:keepNext/>
        <w:keepLines/>
      </w:pPr>
      <w:r>
        <w:rPr>
          <w:color w:val="0066CC"/>
        </w:rPr>
        <w:t>9. Uso recomendado de los resultados</w:t>
      </w:r>
    </w:p>
    <w:p>
      <w:r>
        <w:t xml:space="preserve">A nivel </w:t>
      </w:r>
      <w:r>
        <w:rPr>
          <w:b/>
        </w:rPr>
        <w:t>organizativo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Identificar brechas específicas (por ejemplo, baja madurez SAMM en Gobernanza, usos limitados de ASVS, falta de métricas de riesgo).</w:t>
      </w:r>
    </w:p>
    <w:p>
      <w:pPr>
        <w:pStyle w:val="ListBullet"/>
        <w:keepLines w:val="1"/>
        <w:keepNext w:val="1"/>
        <w:widowControl w:val="1"/>
      </w:pPr>
      <w:r>
        <w:t>Priorizar inversiones en función de impacto y viabilidad.</w:t>
      </w:r>
    </w:p>
    <w:p>
      <w:pPr>
        <w:pStyle w:val="ListBullet"/>
        <w:keepLines w:val="1"/>
        <w:widowControl w:val="1"/>
      </w:pPr>
      <w:r>
        <w:t>Comunicar de forma clara a la alta dirección la posición real frente a marcos reconocidos.</w:t>
      </w:r>
    </w:p>
    <w:p>
      <w:r>
        <w:t xml:space="preserve">A nivel </w:t>
      </w:r>
      <w:r>
        <w:rPr>
          <w:b/>
        </w:rPr>
        <w:t>nacional o sectorial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Establecer una línea base (baseline) de madurez y exposición.</w:t>
      </w:r>
    </w:p>
    <w:p>
      <w:pPr>
        <w:pStyle w:val="ListBullet"/>
        <w:keepLines w:val="1"/>
        <w:keepNext w:val="1"/>
        <w:widowControl w:val="1"/>
      </w:pPr>
      <w:r>
        <w:t>Medir la evolución en el tiempo (series temporales del IGM y subíndices).</w:t>
      </w:r>
    </w:p>
    <w:p>
      <w:pPr>
        <w:pStyle w:val="ListBullet"/>
        <w:keepLines w:val="1"/>
        <w:widowControl w:val="1"/>
      </w:pPr>
      <w:r>
        <w:t>Alimentar la elaboración de políticas, guías y programas de apoyo.</w:t>
      </w:r>
    </w:p>
    <w:p>
      <w:pPr>
        <w:pStyle w:val="Heading2"/>
        <w:keepNext/>
        <w:keepLines/>
      </w:pPr>
      <w:r>
        <w:rPr>
          <w:color w:val="0066CC"/>
        </w:rPr>
        <w:t>10. Recomendaciones finales</w:t>
      </w:r>
    </w:p>
    <w:p>
      <w:pPr>
        <w:pStyle w:val="ListBullet"/>
        <w:keepLines w:val="1"/>
        <w:keepNext w:val="1"/>
        <w:widowControl w:val="1"/>
      </w:pPr>
      <w:r>
        <w:t>No convertir la encuesta en un mero ejercicio de “compliance”; su valor reside en la honestidad de las respuestas.</w:t>
      </w:r>
    </w:p>
    <w:p>
      <w:pPr>
        <w:pStyle w:val="ListBullet"/>
        <w:keepLines w:val="1"/>
        <w:keepNext w:val="1"/>
        <w:widowControl w:val="1"/>
      </w:pPr>
      <w:r>
        <w:t>Acompañar los resultados con sesiones cualitativas (talleres, grupos de trabajo) para interpretar matices que los números no capturan.</w:t>
      </w:r>
    </w:p>
    <w:p>
      <w:pPr>
        <w:pStyle w:val="ListBullet"/>
        <w:keepLines w:val="1"/>
        <w:widowControl w:val="1"/>
      </w:pPr>
      <w:r>
        <w:t>Mantener el cuestionario vivo: revisar anualmente a la luz de nuevas versiones de OWASP, cambios normativos y lecciones aprendidas.</w:t>
      </w:r>
    </w:p>
    <w:p>
      <w:r>
        <w:t>Esta guía no pretende ser un dogma, sino un punto de partida razonablemente sólido para medir con cierta gracia, pero sin frivolidad, cómo de preparados estamos frente a un mundo digital que no perdona la ingenuidad.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