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– Indicadores OWASP (M1–M15) bajo marco GQM + PRAGMATIC</w:t>
      </w:r>
    </w:p>
    <w:p>
      <w:r>
        <w:t>Versión 1.0 – Tabla de correspondencia orientativa entre indicadores OWASP, objetivos GQM y requisitos de NIS2/ENS.</w:t>
      </w:r>
    </w:p>
    <w:p>
      <w:pPr>
        <w:pStyle w:val="Heading2"/>
        <w:keepNext/>
        <w:keepLines/>
      </w:pPr>
      <w:r>
        <w:rPr>
          <w:color w:val="0066CC"/>
        </w:rPr>
        <w:t>1. Notas previas</w:t>
      </w:r>
    </w:p>
    <w:p>
      <w:pPr>
        <w:pStyle w:val="ListBullet"/>
        <w:keepLines w:val="1"/>
        <w:keepNext w:val="1"/>
        <w:widowControl w:val="1"/>
      </w:pPr>
      <w:r>
        <w:t>El mapeo es orientativo y no sustituye análisis jurídico detallado.</w:t>
      </w:r>
    </w:p>
    <w:p>
      <w:pPr>
        <w:pStyle w:val="ListBullet"/>
        <w:keepLines w:val="1"/>
        <w:keepNext w:val="1"/>
        <w:widowControl w:val="1"/>
      </w:pPr>
      <w:r>
        <w:t>Se centra en la lógica de alineamiento: qué artículo o ámbito normativo se ve mejor informado por cada indicador.</w:t>
      </w:r>
    </w:p>
    <w:p>
      <w:pPr>
        <w:pStyle w:val="ListBullet"/>
        <w:keepLines w:val="1"/>
        <w:widowControl w:val="1"/>
      </w:pPr>
      <w:r>
        <w:t>Se asume un contexto español con ENS vigente y transposición en curso de NIS2.[web:21][web:24][web:60][web:72][web:77]</w:t>
      </w:r>
    </w:p>
    <w:p>
      <w:pPr>
        <w:pStyle w:val="Heading2"/>
        <w:keepNext/>
        <w:keepLines/>
      </w:pPr>
      <w:r>
        <w:rPr>
          <w:color w:val="0066CC"/>
        </w:rPr>
        <w:t>2. Tabla de mapeo M1–M15 → NIS2 / 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 (resumen)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Principales dominios OWASP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Ámbitos NIS2 relevantes (alto nivel)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Ámbitos ENS relevantes (alto nivel)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uso regulatorio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 – Densidad de vulnerabilidades OWASP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Cuantificar exposición estructural a vulnerabilidades OWASP Top 10:2025 en sistemas españoles.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10:2025; Risk Rating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de ciberseguridad; identificación de activos y vulnerabilidades; priorización sectorial.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y gestión de riesgos; inventario de activos; protección de sistemas.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Informa evaluaciones de riesgo macro y sectoriales; apoya la proporcionalidad de medidas técnicas.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M2 – % activos críticos sin vulnerabilidades A01–A03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Evaluar robustez de activos críticos frente a fallos de acceso, configuración y cadena de suministro.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10:2025 (A01–A03); ASVS capítulos de control de acceso y 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proporcionales a riesgo; seguridad de red y sistemas; seguridad de la cadena de suministro.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protección para sistemas de categoría media/alta; gestión de cambios; endurecimiento.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 casi directo de cumplimiento de medidas técnicas reforzadas en servicios esenciales/importantes.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M3 – Cobertura de análisis frente a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cobertura de pruebas de seguridad de aplicaciones mapeadas a Top 10:2025.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10:2025; SAMM Verificación; Security Culture (métricas de testing)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detección y prueba; obligación de pruebas periódicas.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Verificación; auditoría técnica; monitorización de seguridad.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Sirve para evidenciar diligencia en pruebas de seguridad; útil en auditorías ENS y supervisión NIS2.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M4 – MTTR de vulnerabilidades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agilidad de remediación de vulnerabilidades críticas en activos críticos.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Top 10:2025; Risk Rating; SAMM Operaciones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 y tratamiento de vulnerabilidades; tiempo de reacción; continuidad.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incidentes; continuidad del servicio; tiempos de respuesta.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 operativo clave para demostrar capacidad de respuesta y resiliencia.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M5 – Score medio SAMM por función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Evaluar madurez de programas de seguridad de software (Gobernanza, Diseño, Implementación, Verificación, Operaciones).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SAMM completo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organizativas; gobierno de la seguridad; gestión de riesgos de desarrollo.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de la seguridad; política y procedimientos; ciclo de vida de sistemas.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Ayuda a justificar planes de mejora estructural y a demostrar cumplimiento de “medidas organizativas adecuadas”.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M6 – % entidades con nivel ≥2 en “Strategy and Metrics”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adopción de estrategia y métricas de seguridad de software a nivel organizativo.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SAMM – Strategy and Metrics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Gobernanza; responsabilidad de la alta dirección; supervisión periódica.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 organizativo, responsabilidad y supervisión; métricas y revisión.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Muestra hasta qué punto las organizaciones tratan la seguridad de software como disciplina estratégica y medible.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M7 – Pendiente de mejora SAMM (ΔSAMM)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velocidad de maduración de prácticas de seguridad de software.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 de la gestión de riesgos; programas de refuerzo.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continua; revisión periódica de medidas.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Evidencia la progresión (o estancamiento) de la madurez; útil en planes plurianuales.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M8 – Cobertura de autoevaluaciones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porcentaje de entidades que se autoevalúan con SAMM al menos cada 2 años.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SAMM; Security Culture (métricas de programa)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sistemática de riesgos en el ciclo de vida del servicio; cultura de medición.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Autoevaluación; auditorías internas; revisión de la eficacia de controles.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 de “higiene de métricas”: demuestra voluntad de medir y mejorar, aunque no garantice por sí solo buena seguridad.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M9 – Distribución de niveles ASVS por criticidad ENS/NIS2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Evaluar nivel de aseguramiento técnico de aplicaciones en función de su criticidad regulatoria.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ASVS 5.0; Top 10:2025 (controles)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protección; seguridad de aplicaciones; proporcionalidad a criticidad de servicios.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específicas para sistemas de categoría media/alta; seguridad de aplicaciones.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Conecta directamente niveles ASVS con exigencias ENS/NIS2; muy útil para establecer mínimos regulatorios sectoriales.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M10 – Densidad de requisitos ASVS cumplidos por capítulo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Identificar áreas técnicas fuertes/débiles en controles de aplicaciones.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ASVS 5.0 (capítulos técnicos)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detalladas (autenticación, control de acceso, criptografía, logging, etc.).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por capas; controles específicos por dominio técnico.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Permite focalizar acciones de mejora en dominios técnicos concretos; apoyo en auditorías técnicas ENS.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M11 – Cobertura de pruebas vs ASVS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porcentaje de requisitos ASVS cubiertos por pruebas automatizadas y manuales.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ASVS 5.0; SAMM Verificación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prueba y verificación continua; CI/CD seguro.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Verificación; pruebas de seguridad; automatización.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 grado de integración de seguridad en SDLC; relevante para demostrar cumplimiento de “seguridad desde el diseño y por defecto”.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M12 – Ratio de defectos ASVS en producción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Medir deuda de seguridad que se escapa al SDLC y se manifiesta en producción.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ASVS 5.0; Top 10; SAMM Operaciones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Incidentes de seguridad; impacto en la prestación de servicios; responsabilidad ante brechas.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incidentes; lecciones aprendidas; calidad de operación.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 crítica para evidenciar eficacia real del SDLC seguro, más allá de la documentación.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M13 – Distribución de severidad OWASP en infraestructuras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Caracterizar perfil de severidad de vulnerabilidades en infraestructuras críticas.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Rating;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sectoriales; priorización de supervisión; resiliencia de infraestructuras críticas.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de sistemas y servicios críticos; gestión reforzada de seguridad.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Apoya decisiones sobre sectores y sistemas prioritarios en planes nacionales; útil para CN-CERT/INCIBE.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M14 – Riesgo medio OWASP normalizado por sector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Comparar perfiles de riesgo OWASP entre sectores regulados.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Rating;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y supervisión de riesgos intersectoriales; coordinación entre autoridades competentes.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interadministrativa; planes de seguridad sectoriales.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Base para cuadros de mando de alto nivel (Gobierno, agencias reguladoras); orienta recursos e inspecciones.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M15 – Tiempo detección técnica → decisión ejecutiva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Medir alineamiento entre detección técnica y toma de decisiones de negocio.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OWASP Risk Rating; SAMM Governance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Gobernanza; responsabilidad de la alta dirección; reporting y toma de decisiones.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Marco organizativo; comunicación de incidentes y riesgos.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Indicador de madurez de gobernanza y cumplimiento de exigencias NIS2 sobre implicación de la alta dirección.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del mapeo</w:t>
      </w:r>
    </w:p>
    <w:p>
      <w:pPr>
        <w:pStyle w:val="ListBullet"/>
        <w:keepLines w:val="1"/>
        <w:keepNext w:val="1"/>
        <w:widowControl w:val="1"/>
      </w:pPr>
      <w:r>
        <w:t>Para reguladores: ayuda a seleccionar qué indicadores exigir o recomendar como evidencias en supervisión ENS/NIS2 (por ejemplo, M2, M4, M9, M12, M15).</w:t>
      </w:r>
    </w:p>
    <w:p>
      <w:pPr>
        <w:pStyle w:val="ListBullet"/>
        <w:keepLines w:val="1"/>
        <w:keepNext w:val="1"/>
        <w:widowControl w:val="1"/>
      </w:pPr>
      <w:r>
        <w:t>Para CISOs y equipos internos: traduce métricas técnicas OWASP al idioma de cumplimiento y gobernanza, facilitando conversaciones con legales y cumplimiento.</w:t>
      </w:r>
    </w:p>
    <w:p>
      <w:pPr>
        <w:pStyle w:val="ListBullet"/>
        <w:keepLines w:val="1"/>
        <w:widowControl w:val="1"/>
      </w:pPr>
      <w:r>
        <w:t>Para investigación y políticas públicas: ofrece un andamiaje para estudios longitudinales sobre el impacto de NIS2/ENS en la postura de seguridad y la madurez OWASP del país.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