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OWASP 2025 – España</w:t>
      </w:r>
    </w:p>
    <w:p>
      <w:r>
        <w:t>Versión 1.0 – Borrador para pilotos sectoriales y diseño de observatorio nacional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>El presente marco propone integrar dos enfoques complementarios para el diseño y evaluación de indicadores de ciberseguridad basados en OWASP, aplicables al contexto nacional español:</w:t>
      </w:r>
    </w:p>
    <w:p>
      <w:pPr>
        <w:pStyle w:val="ListBullet"/>
        <w:keepLines w:val="1"/>
        <w:keepNext w:val="1"/>
        <w:widowControl w:val="1"/>
      </w:pPr>
      <w:r>
        <w:t>GQM (Goal–Question–Metric): enfoque orientado a objetivos que parte de metas explícitas, pasa por preguntas de evaluación y termina en métricas cuantitativas alineadas con dichos objetivos.[web:87][web:95][web:98]</w:t>
      </w:r>
    </w:p>
    <w:p>
      <w:pPr>
        <w:pStyle w:val="ListBullet"/>
        <w:keepLines w:val="1"/>
        <w:widowControl w:val="1"/>
      </w:pPr>
      <w:r>
        <w:t>PRAGMATIC: meta-métrica que evalúa la utilidad de cada indicador según nueve criterios: Predictivo, Relevante, Accionable, Genuino, Significativo, Preciso, Oportuno (Timely), Independiente y Rentable (Cheap).[web:88][web:91][web:94][web:96]</w:t>
      </w:r>
    </w:p>
    <w:p>
      <w:r>
        <w:t>Se aplica sobre el catálogo de indicadores OWASP propuestos en el informe previo (M1–M15), orientados a Top 10:2025, SAMM, ASVS 5.0 y la Metodología de Rating de Riesgo, todos ellos con vocación de servir como KPIs/KRIs nacionales alineados con NIS2 y ENS.[web:2][web:21][web:24][web:68][web:97][web:100]</w:t>
      </w:r>
    </w:p>
    <w:p>
      <w:pPr>
        <w:pStyle w:val="Heading2"/>
        <w:keepNext/>
        <w:keepLines/>
      </w:pPr>
      <w:r>
        <w:rPr>
          <w:color w:val="0066CC"/>
        </w:rPr>
        <w:t>2. Resumen de los indicadores OWASP (M1–M15)</w:t>
      </w:r>
    </w:p>
    <w:p>
      <w:r>
        <w:t>A efectos de este marco, trabajaremos con los siguientes indicadores (resumen conceptual):</w:t>
      </w:r>
    </w:p>
    <w:p>
      <w:pPr>
        <w:pStyle w:val="ListBullet"/>
        <w:keepLines w:val="1"/>
        <w:keepNext w:val="1"/>
        <w:widowControl w:val="1"/>
      </w:pPr>
      <w:r>
        <w:t>M1 – Densidad de vulnerabilidades OWASP Top 10:2025 en sistemas españoles.</w:t>
        <w:br/>
        <w:t xml:space="preserve">  Vulnerabilidades por 100 activos, mapeadas por CWE a categorías Top 10:2025.</w:t>
      </w:r>
    </w:p>
    <w:p>
      <w:pPr>
        <w:pStyle w:val="ListBullet"/>
        <w:keepLines w:val="1"/>
        <w:keepNext w:val="1"/>
        <w:widowControl w:val="1"/>
      </w:pPr>
      <w:r>
        <w:t>M2 – Proporción de activos críticos sin vulnerabilidades abiertas A01–A03.</w:t>
        <w:br/>
        <w:t xml:space="preserve">  % de servicios esenciales/importantes libres de vulnerabilidades altas/críticas de control de acceso, configuración y cadena de suministro.</w:t>
      </w:r>
    </w:p>
    <w:p>
      <w:pPr>
        <w:pStyle w:val="ListBullet"/>
        <w:keepLines w:val="1"/>
        <w:keepNext w:val="1"/>
        <w:widowControl w:val="1"/>
      </w:pPr>
      <w:r>
        <w:t>M3 – Cobertura de análisis frente a Top 10:2025.</w:t>
        <w:br/>
        <w:t xml:space="preserve">  % de aplicaciones/APIs críticas sometidas a pruebas mapeadas explícitamente a Top 10:2025.</w:t>
      </w:r>
    </w:p>
    <w:p>
      <w:pPr>
        <w:pStyle w:val="ListBullet"/>
        <w:keepLines w:val="1"/>
        <w:keepNext w:val="1"/>
        <w:widowControl w:val="1"/>
      </w:pPr>
      <w:r>
        <w:t>M4 – MTTR de vulnerabilidades Top 10:2025.</w:t>
        <w:br/>
        <w:t xml:space="preserve">  Días desde detección hasta cierre en producción para vulnerabilidades altas/críticas.</w:t>
      </w:r>
    </w:p>
    <w:p>
      <w:pPr>
        <w:pStyle w:val="ListBullet"/>
        <w:keepLines w:val="1"/>
        <w:keepNext w:val="1"/>
        <w:widowControl w:val="1"/>
      </w:pPr>
      <w:r>
        <w:t>M5 – Score medio SAMM por función.</w:t>
        <w:br/>
        <w:t xml:space="preserve">  Madurez 0–3 en Gobernanza, Diseño, Implementación, Verificación, Operaciones.[web:68][web:70][web:76]</w:t>
      </w:r>
    </w:p>
    <w:p>
      <w:pPr>
        <w:pStyle w:val="ListBullet"/>
        <w:keepLines w:val="1"/>
        <w:keepNext w:val="1"/>
        <w:widowControl w:val="1"/>
      </w:pPr>
      <w:r>
        <w:t>M6 – % entidades con nivel ≥2 en "Strategy and Metrics" (SAMM).</w:t>
      </w:r>
    </w:p>
    <w:p>
      <w:pPr>
        <w:pStyle w:val="ListBullet"/>
        <w:keepLines w:val="1"/>
        <w:keepNext w:val="1"/>
        <w:widowControl w:val="1"/>
      </w:pPr>
      <w:r>
        <w:t>M7 – Pendiente anual de mejora SAMM (ΔSAMM).</w:t>
      </w:r>
    </w:p>
    <w:p>
      <w:pPr>
        <w:pStyle w:val="ListBullet"/>
        <w:keepLines w:val="1"/>
        <w:keepNext w:val="1"/>
        <w:widowControl w:val="1"/>
      </w:pPr>
      <w:r>
        <w:t>M8 – Cobertura de autoevaluaciones SAMM.</w:t>
        <w:br/>
        <w:t xml:space="preserve">  % de entidades que se autoevalúan al menos cada 2 años.</w:t>
      </w:r>
    </w:p>
    <w:p>
      <w:pPr>
        <w:pStyle w:val="ListBullet"/>
        <w:keepLines w:val="1"/>
        <w:keepNext w:val="1"/>
        <w:widowControl w:val="1"/>
      </w:pPr>
      <w:r>
        <w:t>M9 – Distribución de niveles ASVS por criticidad ENS/NIS2.</w:t>
        <w:br/>
        <w:t xml:space="preserve">  % de apps críticas en ASVS ≥ Nivel 2 (y ≥3 según criticidad).</w:t>
      </w:r>
    </w:p>
    <w:p>
      <w:pPr>
        <w:pStyle w:val="ListBullet"/>
        <w:keepLines w:val="1"/>
        <w:keepNext w:val="1"/>
        <w:widowControl w:val="1"/>
      </w:pPr>
      <w:r>
        <w:t>M10 – Densidad de requisitos ASVS cumplidos por capítulo.</w:t>
      </w:r>
    </w:p>
    <w:p>
      <w:pPr>
        <w:pStyle w:val="ListBullet"/>
        <w:keepLines w:val="1"/>
        <w:keepNext w:val="1"/>
        <w:widowControl w:val="1"/>
      </w:pPr>
      <w:r>
        <w:t>M11 – Cobertura de pruebas frente a ASVS.</w:t>
      </w:r>
    </w:p>
    <w:p>
      <w:pPr>
        <w:pStyle w:val="ListBullet"/>
        <w:keepLines w:val="1"/>
        <w:keepNext w:val="1"/>
        <w:widowControl w:val="1"/>
      </w:pPr>
      <w:r>
        <w:t>M12 – Ratio de defectos ASVS en producción.</w:t>
      </w:r>
    </w:p>
    <w:p>
      <w:pPr>
        <w:pStyle w:val="ListBullet"/>
        <w:keepLines w:val="1"/>
        <w:keepNext w:val="1"/>
        <w:widowControl w:val="1"/>
      </w:pPr>
      <w:r>
        <w:t>M13 – Distribución de severidad OWASP (baja/media/alta) en infraestructuras críticas.</w:t>
      </w:r>
    </w:p>
    <w:p>
      <w:pPr>
        <w:pStyle w:val="ListBullet"/>
        <w:keepLines w:val="1"/>
        <w:keepNext w:val="1"/>
        <w:widowControl w:val="1"/>
      </w:pPr>
      <w:r>
        <w:t>M14 – Riesgo medio normalizado OWASP por sector.</w:t>
      </w:r>
    </w:p>
    <w:p>
      <w:pPr>
        <w:pStyle w:val="ListBullet"/>
        <w:keepLines w:val="1"/>
        <w:widowControl w:val="1"/>
      </w:pPr>
      <w:r>
        <w:t>M15 – Tiempo medio desde detección técnica a decisión ejecutiva de riesgo.</w:t>
      </w:r>
    </w:p>
    <w:p>
      <w:r>
        <w:t xml:space="preserve">Estos indicadores se entienden como candidatos a formar parte de un </w:t>
      </w:r>
      <w:r>
        <w:rPr>
          <w:b/>
        </w:rPr>
        <w:t>Índice Global de Madurez (IGM)</w:t>
      </w:r>
      <w:r>
        <w:t xml:space="preserve"> con subíndices por exposición, madurez de programa, aseguramiento técnico y gobernanza/cultura.</w:t>
      </w:r>
    </w:p>
    <w:p>
      <w:pPr>
        <w:pStyle w:val="Heading2"/>
        <w:keepNext/>
        <w:keepLines/>
      </w:pPr>
      <w:r>
        <w:rPr>
          <w:color w:val="0066CC"/>
        </w:rPr>
        <w:t>3. Enfoque GQM aplicado a indicadores nacionales</w:t>
      </w:r>
    </w:p>
    <w:p>
      <w:pPr>
        <w:pStyle w:val="Heading3"/>
        <w:keepNext/>
        <w:keepLines/>
      </w:pPr>
      <w:r>
        <w:t>3.1. GQM en tres niveles</w:t>
      </w:r>
    </w:p>
    <w:p>
      <w:r>
        <w:t>Siguiendo la definición clásica de GQM:[web:87][web:95][web:98]</w:t>
      </w:r>
    </w:p>
    <w:p>
      <w:pPr>
        <w:pStyle w:val="ListNumber"/>
        <w:keepLines w:val="1"/>
        <w:keepNext w:val="1"/>
        <w:widowControl w:val="1"/>
      </w:pPr>
      <w:r>
        <w:t>Goal (Meta) – Enunciado del objetivo de medición, asociado a un objeto (programa nacional, sector, organización), con propósito, punto de vista y entorno.</w:t>
      </w:r>
    </w:p>
    <w:p>
      <w:pPr>
        <w:pStyle w:val="ListNumber"/>
        <w:keepLines w:val="1"/>
        <w:keepNext w:val="1"/>
        <w:widowControl w:val="1"/>
      </w:pPr>
      <w:r>
        <w:t>Question (Pregunta) – Cuestiones que concretan cómo evaluar el logro de la meta.</w:t>
      </w:r>
    </w:p>
    <w:p>
      <w:pPr>
        <w:pStyle w:val="ListNumber"/>
        <w:keepLines w:val="1"/>
        <w:widowControl w:val="1"/>
      </w:pPr>
      <w:r>
        <w:t>Metric (Métrica) – Datos cuantitativos que permiten responder a las preguntas.</w:t>
      </w:r>
    </w:p>
    <w:p>
      <w:r>
        <w:t>En el contexto nacional español, las metas se alinean con:</w:t>
      </w:r>
    </w:p>
    <w:p>
      <w:pPr>
        <w:pStyle w:val="ListBullet"/>
        <w:keepLines w:val="1"/>
        <w:keepNext w:val="1"/>
        <w:widowControl w:val="1"/>
      </w:pPr>
      <w:r>
        <w:t>Objetivos estratégicos nacionales (Estrategia Nacional de Ciberseguridad, Plan Nacional de Ciberseguridad, transposición NIS2).</w:t>
      </w:r>
    </w:p>
    <w:p>
      <w:pPr>
        <w:pStyle w:val="ListBullet"/>
        <w:keepLines w:val="1"/>
        <w:widowControl w:val="1"/>
      </w:pPr>
      <w:r>
        <w:t>Obligaciones ENS/NIS2 (gestión basada en riesgos, medidas técnicas y organizativas, continuidad, gobernanza).[web:21][web:24][web:60][web:72][web:77]</w:t>
      </w:r>
    </w:p>
    <w:p>
      <w:pPr>
        <w:pStyle w:val="Heading3"/>
        <w:keepNext/>
        <w:keepLines/>
      </w:pPr>
      <w:r>
        <w:t>3.2. Ejemplo de plantilla GQM para un indicador</w:t>
      </w:r>
    </w:p>
    <w:p>
      <w:r>
        <w:t>Para cada indicador Mx, se propone estructurar su definición GQM así:</w:t>
      </w:r>
    </w:p>
    <w:p>
      <w:pPr>
        <w:pStyle w:val="ListBullet"/>
        <w:keepLines w:val="1"/>
        <w:keepNext w:val="1"/>
        <w:widowControl w:val="1"/>
      </w:pPr>
      <w:r>
        <w:br/>
        <w:t>Meta Gx</w:t>
        <w:br/>
        <w:t>Analizar [objeto] con el propósito de [motivo] desde el punto de vista de [rol] en el contexto de [entorno].</w:t>
        <w:br/>
      </w:r>
    </w:p>
    <w:p>
      <w:pPr>
        <w:pStyle w:val="ListBullet"/>
        <w:keepLines w:val="1"/>
        <w:keepNext w:val="1"/>
        <w:widowControl w:val="1"/>
      </w:pPr>
      <w:r>
        <w:br/>
        <w:t>Preguntas Qx.y (2–4 por indicador)</w:t>
        <w:br/>
      </w:r>
    </w:p>
    <w:p>
      <w:pPr>
        <w:pStyle w:val="ListBullet"/>
        <w:keepLines w:val="1"/>
        <w:keepNext w:val="1"/>
        <w:widowControl w:val="1"/>
      </w:pPr>
      <w:r>
        <w:t>Qx.1: …</w:t>
      </w:r>
    </w:p>
    <w:p>
      <w:pPr>
        <w:pStyle w:val="ListBullet"/>
        <w:keepLines w:val="1"/>
        <w:keepNext w:val="1"/>
        <w:widowControl w:val="1"/>
      </w:pPr>
      <w:r>
        <w:br/>
        <w:t>Qx.2: …</w:t>
        <w:br/>
      </w:r>
    </w:p>
    <w:p>
      <w:pPr>
        <w:pStyle w:val="ListBullet"/>
        <w:keepLines w:val="1"/>
        <w:keepNext w:val="1"/>
        <w:widowControl w:val="1"/>
      </w:pPr>
      <w:r>
        <w:br/>
        <w:t>Métricas asociadas (Mx)</w:t>
        <w:br/>
      </w:r>
    </w:p>
    <w:p>
      <w:pPr>
        <w:pStyle w:val="ListBullet"/>
        <w:keepLines w:val="1"/>
        <w:keepNext w:val="1"/>
        <w:widowControl w:val="1"/>
      </w:pPr>
      <w:r>
        <w:t>Definición formal.</w:t>
      </w:r>
    </w:p>
    <w:p>
      <w:pPr>
        <w:pStyle w:val="ListBullet"/>
        <w:keepLines w:val="1"/>
        <w:keepNext w:val="1"/>
        <w:widowControl w:val="1"/>
      </w:pPr>
      <w:r>
        <w:t>Unidad de medida.</w:t>
      </w:r>
    </w:p>
    <w:p>
      <w:pPr>
        <w:pStyle w:val="ListBullet"/>
        <w:keepLines w:val="1"/>
        <w:keepNext w:val="1"/>
        <w:widowControl w:val="1"/>
      </w:pPr>
      <w:r>
        <w:t>Fuente de datos.</w:t>
      </w:r>
    </w:p>
    <w:p>
      <w:pPr>
        <w:pStyle w:val="ListBullet"/>
        <w:keepLines w:val="1"/>
        <w:widowControl w:val="1"/>
      </w:pPr>
      <w:r>
        <w:t>Frecuencia.</w:t>
      </w:r>
    </w:p>
    <w:p>
      <w:r>
        <w:rPr>
          <w:b/>
        </w:rPr>
        <w:t>Meta Gx</w:t>
      </w:r>
      <w:r/>
      <w:r>
        <w:br/>
      </w:r>
      <w:r>
        <w:rPr>
          <w:i/>
        </w:rPr>
        <w:t>Analizar</w:t>
      </w:r>
      <w:r>
        <w:t xml:space="preserve"> [objeto] </w:t>
      </w:r>
      <w:r>
        <w:rPr>
          <w:i/>
        </w:rPr>
        <w:t>con el propósito de</w:t>
      </w:r>
      <w:r>
        <w:t xml:space="preserve"> [motivo] </w:t>
      </w:r>
      <w:r>
        <w:rPr>
          <w:i/>
        </w:rPr>
        <w:t>desde el punto de vista de</w:t>
      </w:r>
      <w:r>
        <w:t xml:space="preserve"> [rol] </w:t>
      </w:r>
      <w:r>
        <w:rPr>
          <w:i/>
        </w:rPr>
        <w:t>en el contexto de</w:t>
      </w:r>
      <w:r>
        <w:t xml:space="preserve"> [entorno].</w:t>
      </w:r>
    </w:p>
    <w:p>
      <w:r>
        <w:rPr>
          <w:b/>
        </w:rPr>
        <w:t>Preguntas Qx.y</w:t>
      </w:r>
      <w:r>
        <w:t xml:space="preserve"> (2–4 por indicador)</w:t>
      </w:r>
    </w:p>
    <w:p>
      <w:r>
        <w:t>Qx.2: …</w:t>
      </w:r>
    </w:p>
    <w:p>
      <w:r>
        <w:rPr>
          <w:b/>
        </w:rPr>
        <w:t>Métricas asociadas (Mx)</w:t>
      </w:r>
    </w:p>
    <w:p>
      <w:r>
        <w:t>En la "Matriz de Evaluación PRAGMATIC" se documentan, para cada Mx, los elementos GQM y la puntuación en los nueve criterios.</w:t>
      </w:r>
    </w:p>
    <w:p>
      <w:pPr>
        <w:pStyle w:val="Heading2"/>
        <w:keepNext/>
        <w:keepLines/>
      </w:pPr>
      <w:r>
        <w:rPr>
          <w:color w:val="0066CC"/>
        </w:rPr>
        <w:t>4. Aplicación GQM resumida por indicador</w:t>
      </w:r>
    </w:p>
    <w:p>
      <w:r>
        <w:t>A continuación se presenta, de forma sintética, el esquema GQM para cada indicador. La versión completa y tabular se desarrolla en la matriz PRAGMATIC.</w:t>
      </w:r>
    </w:p>
    <w:p>
      <w:pPr>
        <w:pStyle w:val="Heading3"/>
        <w:keepNext/>
        <w:keepLines/>
      </w:pPr>
      <w:r>
        <w:t>4.1. M1 – Densidad de vulnerabilidades OWASP Top 10:2025</w:t>
      </w:r>
    </w:p>
    <w:p>
      <w:pPr>
        <w:pStyle w:val="ListBullet"/>
        <w:keepLines w:val="1"/>
        <w:keepNext w:val="1"/>
        <w:widowControl w:val="1"/>
      </w:pPr>
      <w:r>
        <w:br/>
        <w:t>Meta G1</w:t>
        <w:br/>
        <w:t xml:space="preserve">  Analizar el ecosistema de sistemas bajo jurisdicción española con el propósito de cuantificar la exposición estructural a las categorías de riesgo OWASP Top 10:2025, desde el punto de vista de autoridades nacionales de ciberseguridad y reguladores, en el contexto de transposición NIS2 y aplicación del ENS.</w:t>
        <w:br/>
      </w:r>
    </w:p>
    <w:p>
      <w:pPr>
        <w:pStyle w:val="ListBullet"/>
        <w:keepLines w:val="1"/>
        <w:keepNext w:val="1"/>
        <w:widowControl w:val="1"/>
      </w:pPr>
      <w:r>
        <w:br/>
        <w:t>Preguntas clave</w:t>
        <w:br/>
      </w:r>
    </w:p>
    <w:p>
      <w:pPr>
        <w:pStyle w:val="ListBullet"/>
        <w:keepLines w:val="1"/>
        <w:keepNext w:val="1"/>
        <w:widowControl w:val="1"/>
      </w:pPr>
      <w:r>
        <w:t xml:space="preserve">Q1.1: ¿Qué volumen de vulnerabilidades conocidas (CVE) se observa por categoría OWASP Top 10 en los sistemas críticos?  </w:t>
      </w:r>
    </w:p>
    <w:p>
      <w:pPr>
        <w:pStyle w:val="ListBullet"/>
        <w:keepLines w:val="1"/>
        <w:keepNext w:val="1"/>
        <w:widowControl w:val="1"/>
      </w:pPr>
      <w:r>
        <w:t xml:space="preserve">Q1.2: ¿Cómo varía esa densidad por sector, tamaño de organización y nivel ENS?  </w:t>
      </w:r>
    </w:p>
    <w:p>
      <w:pPr>
        <w:pStyle w:val="ListBullet"/>
        <w:keepLines w:val="1"/>
        <w:keepNext w:val="1"/>
        <w:widowControl w:val="1"/>
      </w:pPr>
      <w:r>
        <w:br/>
        <w:t>Q1.3: ¿La densidad de vulnerabilidades OWASP tiende a disminuir, mantenerse o aumentar a lo largo del tiempo?</w:t>
        <w:br/>
      </w:r>
    </w:p>
    <w:p>
      <w:pPr>
        <w:pStyle w:val="ListBullet"/>
        <w:keepLines w:val="1"/>
        <w:keepNext w:val="1"/>
        <w:widowControl w:val="1"/>
      </w:pPr>
      <w:r>
        <w:br/>
        <w:t>Métrica M1</w:t>
        <w:br/>
      </w:r>
    </w:p>
    <w:p>
      <w:pPr>
        <w:pStyle w:val="ListBullet"/>
        <w:keepLines w:val="1"/>
        <w:keepNext w:val="1"/>
        <w:widowControl w:val="1"/>
      </w:pPr>
      <w:r>
        <w:t>Definición: vulnerabilidades CVE explotables en sistemas bajo jurisdicción española, mapeadas a CWEs y categorías Top 10:2025, por cada 100 activos inventariados.</w:t>
      </w:r>
    </w:p>
    <w:p>
      <w:pPr>
        <w:pStyle w:val="ListBullet"/>
        <w:keepLines w:val="1"/>
        <w:keepNext w:val="1"/>
        <w:widowControl w:val="1"/>
      </w:pPr>
      <w:r>
        <w:t>Unidad: vulnerabilidades por 100 activos.</w:t>
      </w:r>
    </w:p>
    <w:p>
      <w:pPr>
        <w:pStyle w:val="ListBullet"/>
        <w:keepLines w:val="1"/>
        <w:keepNext w:val="1"/>
        <w:widowControl w:val="1"/>
      </w:pPr>
      <w:r>
        <w:t>Fuente: registros de vulnerabilidades de INCIBE-CERT, CCN-CERT y otros CSIRTs sectoriales; inventarios ENS/NIS2.</w:t>
      </w:r>
    </w:p>
    <w:p>
      <w:pPr>
        <w:pStyle w:val="ListBullet"/>
        <w:keepLines w:val="1"/>
        <w:widowControl w:val="1"/>
      </w:pPr>
      <w:r>
        <w:t>Frecuencia: anual, con posibilidad de actualización semestral para series temporales.</w:t>
      </w:r>
    </w:p>
    <w:p>
      <w:r>
        <w:rPr>
          <w:b/>
        </w:rPr>
        <w:t>Meta G1</w:t>
      </w:r>
      <w:r/>
      <w:r>
        <w:br/>
        <w:t xml:space="preserve">  Analizar el </w:t>
      </w:r>
      <w:r>
        <w:rPr>
          <w:b/>
        </w:rPr>
        <w:t>ecosistema de sistemas bajo jurisdicción española</w:t>
      </w:r>
      <w:r>
        <w:t xml:space="preserve"> con el propósito de </w:t>
      </w:r>
      <w:r>
        <w:rPr>
          <w:b/>
        </w:rPr>
        <w:t>cuantificar la exposición estructural a las categorías de riesgo OWASP Top 10:2025</w:t>
      </w:r>
      <w:r>
        <w:t xml:space="preserve">, desde el punto de vista de </w:t>
      </w:r>
      <w:r>
        <w:rPr>
          <w:b/>
        </w:rPr>
        <w:t>autoridades nacionales de ciberseguridad y reguladores</w:t>
      </w:r>
      <w:r>
        <w:t xml:space="preserve">, en el contexto de </w:t>
      </w:r>
      <w:r>
        <w:rPr>
          <w:b/>
        </w:rPr>
        <w:t>transposición NIS2 y aplicación del ENS</w:t>
      </w:r>
      <w:r>
        <w:t>.</w:t>
      </w:r>
    </w:p>
    <w:p>
      <w:r>
        <w:rPr>
          <w:b/>
        </w:rPr>
        <w:t>Preguntas clave</w:t>
      </w:r>
    </w:p>
    <w:p>
      <w:r>
        <w:t>Q1.3: ¿La densidad de vulnerabilidades OWASP tiende a disminuir, mantenerse o aumentar a lo largo del tiempo?</w:t>
      </w:r>
    </w:p>
    <w:p>
      <w:r>
        <w:rPr>
          <w:b/>
        </w:rPr>
        <w:t>Métrica M1</w:t>
      </w:r>
    </w:p>
    <w:p>
      <w:pPr>
        <w:pStyle w:val="Heading3"/>
        <w:keepNext/>
        <w:keepLines/>
      </w:pPr>
      <w:r>
        <w:t>4.2. M2 – % de activos críticos sin vulnerabilidades A01–A03</w:t>
      </w:r>
    </w:p>
    <w:p>
      <w:pPr>
        <w:pStyle w:val="ListBullet"/>
        <w:keepLines w:val="1"/>
        <w:keepNext w:val="1"/>
        <w:widowControl w:val="1"/>
      </w:pPr>
      <w:r>
        <w:br/>
        <w:t>Meta G2</w:t>
        <w:br/>
        <w:t xml:space="preserve">  Analizar los activos críticos regulados por ENS/NIS2 con el propósito de evaluar la robustez de controles de acceso, configuración y cadena de suministro (A01–A03), desde el punto de vista de autoridades supervisores y órganos de gobierno corporativos, en el contexto de requisitos mínimos de seguridad y continuidad de servicios esenciales.</w:t>
        <w:br/>
      </w:r>
    </w:p>
    <w:p>
      <w:pPr>
        <w:pStyle w:val="ListBullet"/>
        <w:keepLines w:val="1"/>
        <w:keepNext w:val="1"/>
        <w:widowControl w:val="1"/>
      </w:pPr>
      <w:r>
        <w:br/>
        <w:t>Preguntas clave</w:t>
        <w:br/>
      </w:r>
    </w:p>
    <w:p>
      <w:pPr>
        <w:pStyle w:val="ListBullet"/>
        <w:keepLines w:val="1"/>
        <w:keepNext w:val="1"/>
        <w:widowControl w:val="1"/>
      </w:pPr>
      <w:r>
        <w:t xml:space="preserve">Q2.1: ¿Qué proporción de activos críticos carece de vulnerabilidades abiertas de alta/critica severidad en A01–A03?  </w:t>
      </w:r>
    </w:p>
    <w:p>
      <w:pPr>
        <w:pStyle w:val="ListBullet"/>
        <w:keepLines w:val="1"/>
        <w:keepNext w:val="1"/>
        <w:widowControl w:val="1"/>
      </w:pPr>
      <w:r>
        <w:t xml:space="preserve">Q2.2: ¿Cómo varía este porcentaje por sector y categoría ENS?  </w:t>
      </w:r>
    </w:p>
    <w:p>
      <w:pPr>
        <w:pStyle w:val="ListBullet"/>
        <w:keepLines w:val="1"/>
        <w:keepNext w:val="1"/>
        <w:widowControl w:val="1"/>
      </w:pPr>
      <w:r>
        <w:br/>
        <w:t>Q2.3: ¿La tendencia es de mejora (más activos “limpios”) o de deterioro?</w:t>
        <w:br/>
      </w:r>
    </w:p>
    <w:p>
      <w:pPr>
        <w:pStyle w:val="ListBullet"/>
        <w:keepLines w:val="1"/>
        <w:keepNext w:val="1"/>
        <w:widowControl w:val="1"/>
      </w:pPr>
      <w:r>
        <w:br/>
        <w:t>Métrica M2</w:t>
        <w:br/>
      </w:r>
    </w:p>
    <w:p>
      <w:pPr>
        <w:pStyle w:val="ListBullet"/>
        <w:keepLines w:val="1"/>
        <w:keepNext w:val="1"/>
        <w:widowControl w:val="1"/>
      </w:pPr>
      <w:r>
        <w:t>Definición: porcentaje de activos críticos sin vulnerabilidades abiertas de severidad alta/crítica asociadas a categorías A01–A03.</w:t>
      </w:r>
    </w:p>
    <w:p>
      <w:pPr>
        <w:pStyle w:val="ListBullet"/>
        <w:keepLines w:val="1"/>
        <w:keepNext w:val="1"/>
        <w:widowControl w:val="1"/>
      </w:pPr>
      <w:r>
        <w:t xml:space="preserve">Unidad: %.  </w:t>
      </w:r>
    </w:p>
    <w:p>
      <w:pPr>
        <w:pStyle w:val="ListBullet"/>
        <w:keepLines w:val="1"/>
        <w:keepNext w:val="1"/>
        <w:widowControl w:val="1"/>
      </w:pPr>
      <w:r>
        <w:t>Fuente: bases de datos de vulnerabilidades, herramientas de gestión de parches, inventarios de activos críticos.</w:t>
      </w:r>
    </w:p>
    <w:p>
      <w:pPr>
        <w:pStyle w:val="ListBullet"/>
        <w:keepLines w:val="1"/>
        <w:widowControl w:val="1"/>
      </w:pPr>
      <w:r>
        <w:t>Frecuencia: trimestral o semestral.</w:t>
      </w:r>
    </w:p>
    <w:p>
      <w:r>
        <w:rPr>
          <w:b/>
        </w:rPr>
        <w:t>Meta G2</w:t>
      </w:r>
      <w:r/>
      <w:r>
        <w:br/>
        <w:t xml:space="preserve">  Analizar los </w:t>
      </w:r>
      <w:r>
        <w:rPr>
          <w:b/>
        </w:rPr>
        <w:t>activos críticos regulados por ENS/NIS2</w:t>
      </w:r>
      <w:r>
        <w:t xml:space="preserve"> con el propósito de </w:t>
      </w:r>
      <w:r>
        <w:rPr>
          <w:b/>
        </w:rPr>
        <w:t>evaluar la robustez de controles de acceso, configuración y cadena de suministro (A01–A03)</w:t>
      </w:r>
      <w:r>
        <w:t xml:space="preserve">, desde el punto de vista de </w:t>
      </w:r>
      <w:r>
        <w:rPr>
          <w:b/>
        </w:rPr>
        <w:t>autoridades supervisores y órganos de gobierno corporativos</w:t>
      </w:r>
      <w:r>
        <w:t xml:space="preserve">, en el contexto de </w:t>
      </w:r>
      <w:r>
        <w:rPr>
          <w:b/>
        </w:rPr>
        <w:t>requisitos mínimos de seguridad y continuidad de servicios esenciales</w:t>
      </w:r>
      <w:r>
        <w:t>.</w:t>
      </w:r>
    </w:p>
    <w:p>
      <w:r>
        <w:rPr>
          <w:b/>
        </w:rPr>
        <w:t>Preguntas clave</w:t>
      </w:r>
    </w:p>
    <w:p>
      <w:r>
        <w:t>Q2.3: ¿La tendencia es de mejora (más activos “limpios”) o de deterioro?</w:t>
      </w:r>
    </w:p>
    <w:p>
      <w:r>
        <w:rPr>
          <w:b/>
        </w:rPr>
        <w:t>Métrica M2</w:t>
      </w:r>
    </w:p>
    <w:p>
      <w:pPr>
        <w:pStyle w:val="Heading3"/>
        <w:keepNext/>
        <w:keepLines/>
      </w:pPr>
      <w:r>
        <w:t>4.3. M3 – Cobertura de análisis frente a Top 10:2025</w:t>
      </w:r>
    </w:p>
    <w:p>
      <w:pPr>
        <w:pStyle w:val="ListBullet"/>
        <w:keepLines w:val="1"/>
        <w:keepNext w:val="1"/>
        <w:widowControl w:val="1"/>
      </w:pPr>
      <w:r>
        <w:br/>
        <w:t>Meta G3</w:t>
        <w:br/>
        <w:t xml:space="preserve">  Analizar las prácticas de prueba de seguridad de aplicaciones/APIs críticas con el propósito de medir la cobertura de detección respecto a las categorías Top 10:2025, desde el punto de vista de CISOs y responsables de pruebas, en el contexto de cumplimiento ENS/NIS2 y programas de mejora OWASP SAMM.</w:t>
        <w:br/>
      </w:r>
    </w:p>
    <w:p>
      <w:pPr>
        <w:pStyle w:val="ListBullet"/>
        <w:keepLines w:val="1"/>
        <w:keepNext w:val="1"/>
        <w:widowControl w:val="1"/>
      </w:pPr>
      <w:r>
        <w:br/>
        <w:t>Preguntas clave</w:t>
        <w:br/>
      </w:r>
    </w:p>
    <w:p>
      <w:pPr>
        <w:pStyle w:val="ListBullet"/>
        <w:keepLines w:val="1"/>
        <w:keepNext w:val="1"/>
        <w:widowControl w:val="1"/>
      </w:pPr>
      <w:r>
        <w:t xml:space="preserve">Q3.1: ¿Qué porcentaje de aplicaciones críticas se prueba explícitamente frente a las diez categorías Top 10?  </w:t>
      </w:r>
    </w:p>
    <w:p>
      <w:pPr>
        <w:pStyle w:val="ListBullet"/>
        <w:keepLines w:val="1"/>
        <w:keepNext w:val="1"/>
        <w:widowControl w:val="1"/>
      </w:pPr>
      <w:r>
        <w:t xml:space="preserve">Q3.2: ¿Qué métodos se utilizan (SAST, DAST, SCA, pentesting) y con qué frecuencia?  </w:t>
      </w:r>
    </w:p>
    <w:p>
      <w:pPr>
        <w:pStyle w:val="ListBullet"/>
        <w:keepLines w:val="1"/>
        <w:keepNext w:val="1"/>
        <w:widowControl w:val="1"/>
      </w:pPr>
      <w:r>
        <w:br/>
        <w:t>Q3.3: ¿Existe correlación entre cobertura de análisis y reducción de incidentes?</w:t>
        <w:br/>
      </w:r>
    </w:p>
    <w:p>
      <w:pPr>
        <w:pStyle w:val="ListBullet"/>
        <w:keepLines w:val="1"/>
        <w:keepNext w:val="1"/>
        <w:widowControl w:val="1"/>
      </w:pPr>
      <w:r>
        <w:br/>
        <w:t>Métrica M3</w:t>
        <w:br/>
      </w:r>
    </w:p>
    <w:p>
      <w:pPr>
        <w:pStyle w:val="ListBullet"/>
        <w:keepLines w:val="1"/>
        <w:keepNext w:val="1"/>
        <w:widowControl w:val="1"/>
      </w:pPr>
      <w:r>
        <w:t>Definición: porcentaje de aplicaciones/APIs críticas sometidas, al menos anualmente, a pruebas con reglas o configuraciones mapeadas al Top 10:2025.</w:t>
      </w:r>
    </w:p>
    <w:p>
      <w:pPr>
        <w:pStyle w:val="ListBullet"/>
        <w:keepLines w:val="1"/>
        <w:keepNext w:val="1"/>
        <w:widowControl w:val="1"/>
      </w:pPr>
      <w:r>
        <w:t>Unidad: % de aplicaciones.</w:t>
      </w:r>
    </w:p>
    <w:p>
      <w:pPr>
        <w:pStyle w:val="ListBullet"/>
        <w:keepLines w:val="1"/>
        <w:keepNext w:val="1"/>
        <w:widowControl w:val="1"/>
      </w:pPr>
      <w:r>
        <w:t>Fuente: registros de pruebas, herramientas de CI/CD y ASPM, repositorios de informes de pentesting.</w:t>
      </w:r>
    </w:p>
    <w:p>
      <w:pPr>
        <w:pStyle w:val="ListBullet"/>
        <w:keepLines w:val="1"/>
        <w:widowControl w:val="1"/>
      </w:pPr>
      <w:r>
        <w:t>Frecuencia: anual.</w:t>
      </w:r>
    </w:p>
    <w:p>
      <w:r>
        <w:rPr>
          <w:b/>
        </w:rPr>
        <w:t>Meta G3</w:t>
      </w:r>
      <w:r/>
      <w:r>
        <w:br/>
        <w:t xml:space="preserve">  Analizar las </w:t>
      </w:r>
      <w:r>
        <w:rPr>
          <w:b/>
        </w:rPr>
        <w:t>prácticas de prueba de seguridad de aplicaciones/APIs críticas</w:t>
      </w:r>
      <w:r>
        <w:t xml:space="preserve"> con el propósito de </w:t>
      </w:r>
      <w:r>
        <w:rPr>
          <w:b/>
        </w:rPr>
        <w:t>medir la cobertura de detección respecto a las categorías Top 10:2025</w:t>
      </w:r>
      <w:r>
        <w:t xml:space="preserve">, desde el punto de vista de </w:t>
      </w:r>
      <w:r>
        <w:rPr>
          <w:b/>
        </w:rPr>
        <w:t>CISOs y responsables de pruebas</w:t>
      </w:r>
      <w:r>
        <w:t xml:space="preserve">, en el contexto de </w:t>
      </w:r>
      <w:r>
        <w:rPr>
          <w:b/>
        </w:rPr>
        <w:t>cumplimiento ENS/NIS2 y programas de mejora OWASP SAMM</w:t>
      </w:r>
      <w:r>
        <w:t>.</w:t>
      </w:r>
    </w:p>
    <w:p>
      <w:r>
        <w:rPr>
          <w:b/>
        </w:rPr>
        <w:t>Preguntas clave</w:t>
      </w:r>
    </w:p>
    <w:p>
      <w:r>
        <w:t>Q3.3: ¿Existe correlación entre cobertura de análisis y reducción de incidentes?</w:t>
      </w:r>
    </w:p>
    <w:p>
      <w:r>
        <w:rPr>
          <w:b/>
        </w:rPr>
        <w:t>Métrica M3</w:t>
      </w:r>
    </w:p>
    <w:p>
      <w:pPr>
        <w:pStyle w:val="Heading3"/>
        <w:keepNext/>
        <w:keepLines/>
      </w:pPr>
      <w:r>
        <w:t>4.4. M4 – MTTR de vulnerabilidades Top 10:2025</w:t>
      </w:r>
    </w:p>
    <w:p>
      <w:pPr>
        <w:pStyle w:val="ListBullet"/>
        <w:keepLines w:val="1"/>
        <w:keepNext w:val="1"/>
        <w:widowControl w:val="1"/>
      </w:pPr>
      <w:r>
        <w:br/>
        <w:t>Meta G4</w:t>
        <w:br/>
        <w:t xml:space="preserve">  Analizar la capacidad operativa de respuesta a vulnerabilidades OWASP con el propósito de medir la agilidad de remediación y compararla con ventanas de explotación típicas, desde el punto de vista de gestores de riesgo y operaciones, en el contexto de objetivos de resiliencia y continuidad de negocio.</w:t>
        <w:br/>
      </w:r>
    </w:p>
    <w:p>
      <w:pPr>
        <w:pStyle w:val="ListBullet"/>
        <w:keepLines w:val="1"/>
        <w:keepNext w:val="1"/>
        <w:widowControl w:val="1"/>
      </w:pPr>
      <w:r>
        <w:br/>
        <w:t>Preguntas clave</w:t>
        <w:br/>
      </w:r>
    </w:p>
    <w:p>
      <w:pPr>
        <w:pStyle w:val="ListBullet"/>
        <w:keepLines w:val="1"/>
        <w:keepNext w:val="1"/>
        <w:widowControl w:val="1"/>
      </w:pPr>
      <w:r>
        <w:t xml:space="preserve">Q4.1: ¿Cuántos días pasan, de media, entre la detección y el cierre de vulnerabilidades altas/críticas Top 10 en activos críticos?  </w:t>
      </w:r>
    </w:p>
    <w:p>
      <w:pPr>
        <w:pStyle w:val="ListBullet"/>
        <w:keepLines w:val="1"/>
        <w:keepNext w:val="1"/>
        <w:widowControl w:val="1"/>
      </w:pPr>
      <w:r>
        <w:t xml:space="preserve">Q4.2: ¿Cómo se compara este tiempo con recomendaciones, SLAs internos y ventanas de explotación observadas?  </w:t>
      </w:r>
    </w:p>
    <w:p>
      <w:pPr>
        <w:pStyle w:val="ListBullet"/>
        <w:keepLines w:val="1"/>
        <w:keepNext w:val="1"/>
        <w:widowControl w:val="1"/>
      </w:pPr>
      <w:r>
        <w:br/>
        <w:t>Q4.3: ¿Hay diferencias significativas entre sectores o tipos de organización?</w:t>
        <w:br/>
      </w:r>
    </w:p>
    <w:p>
      <w:pPr>
        <w:pStyle w:val="ListBullet"/>
        <w:keepLines w:val="1"/>
        <w:keepNext w:val="1"/>
        <w:widowControl w:val="1"/>
      </w:pPr>
      <w:r>
        <w:br/>
        <w:t>Métrica M4</w:t>
        <w:br/>
      </w:r>
    </w:p>
    <w:p>
      <w:pPr>
        <w:pStyle w:val="ListBullet"/>
        <w:keepLines w:val="1"/>
        <w:keepNext w:val="1"/>
        <w:widowControl w:val="1"/>
      </w:pPr>
      <w:r>
        <w:t>Definición: tiempo medio (en días) desde la detección hasta el cierre de vulnerabilidades de severidad alta/crítica asociadas al Top 10:2025 en activos críticos.</w:t>
      </w:r>
    </w:p>
    <w:p>
      <w:pPr>
        <w:pStyle w:val="ListBullet"/>
        <w:keepLines w:val="1"/>
        <w:keepNext w:val="1"/>
        <w:widowControl w:val="1"/>
      </w:pPr>
      <w:r>
        <w:t>Unidad: días.</w:t>
      </w:r>
    </w:p>
    <w:p>
      <w:pPr>
        <w:pStyle w:val="ListBullet"/>
        <w:keepLines w:val="1"/>
        <w:keepNext w:val="1"/>
        <w:widowControl w:val="1"/>
      </w:pPr>
      <w:r>
        <w:t>Fuente: sistemas de ticketing, gestores de vulnerabilidades, registros de cambios.</w:t>
      </w:r>
    </w:p>
    <w:p>
      <w:pPr>
        <w:pStyle w:val="ListBullet"/>
        <w:keepLines w:val="1"/>
        <w:widowControl w:val="1"/>
      </w:pPr>
      <w:r>
        <w:t>Frecuencia: trimestral.</w:t>
      </w:r>
    </w:p>
    <w:p>
      <w:r>
        <w:rPr>
          <w:b/>
        </w:rPr>
        <w:t>Meta G4</w:t>
      </w:r>
      <w:r/>
      <w:r>
        <w:br/>
        <w:t xml:space="preserve">  Analizar la </w:t>
      </w:r>
      <w:r>
        <w:rPr>
          <w:b/>
        </w:rPr>
        <w:t>capacidad operativa de respuesta a vulnerabilidades OWASP</w:t>
      </w:r>
      <w:r>
        <w:t xml:space="preserve"> con el propósito de </w:t>
      </w:r>
      <w:r>
        <w:rPr>
          <w:b/>
        </w:rPr>
        <w:t>medir la agilidad de remediación y compararla con ventanas de explotación típicas</w:t>
      </w:r>
      <w:r>
        <w:t xml:space="preserve">, desde el punto de vista de </w:t>
      </w:r>
      <w:r>
        <w:rPr>
          <w:b/>
        </w:rPr>
        <w:t>gestores de riesgo y operaciones</w:t>
      </w:r>
      <w:r>
        <w:t xml:space="preserve">, en el contexto de </w:t>
      </w:r>
      <w:r>
        <w:rPr>
          <w:b/>
        </w:rPr>
        <w:t>objetivos de resiliencia y continuidad de negocio</w:t>
      </w:r>
      <w:r>
        <w:t>.</w:t>
      </w:r>
    </w:p>
    <w:p>
      <w:r>
        <w:rPr>
          <w:b/>
        </w:rPr>
        <w:t>Preguntas clave</w:t>
      </w:r>
    </w:p>
    <w:p>
      <w:r>
        <w:t>Q4.3: ¿Hay diferencias significativas entre sectores o tipos de organización?</w:t>
      </w:r>
    </w:p>
    <w:p>
      <w:r>
        <w:rPr>
          <w:b/>
        </w:rPr>
        <w:t>Métrica M4</w:t>
      </w:r>
    </w:p>
    <w:p>
      <w:r>
        <w:rPr>
          <w:i/>
        </w:rPr>
        <w:t>(La matriz PRAGMATIC detalla de igual forma las metas y preguntas para M5–M15: SAMM, ASVS, riesgo agregado y gobernanza.)</w:t>
      </w:r>
    </w:p>
    <w:p>
      <w:pPr>
        <w:pStyle w:val="Heading2"/>
        <w:keepNext/>
        <w:keepLines/>
      </w:pPr>
      <w:r>
        <w:rPr>
          <w:color w:val="0066CC"/>
        </w:rPr>
        <w:t>5. Criterios PRAGMATIC</w:t>
      </w:r>
    </w:p>
    <w:p>
      <w:r>
        <w:t>Tomando la definición de Brotby e Hinson, PRAGMATIC es un acrónimo que resume nueve criterios para evaluar la calidad de una métrica:[web:88][web:91][web:94][web:96]</w:t>
      </w:r>
    </w:p>
    <w:p>
      <w:pPr>
        <w:pStyle w:val="ListNumber"/>
        <w:keepLines w:val="1"/>
        <w:keepNext w:val="1"/>
        <w:widowControl w:val="1"/>
      </w:pPr>
      <w:r>
        <w:t>Predictive (Predictivo) – ¿Hasta qué punto ayuda la métrica a anticipar eventos futuros (incidentes, fallos, incumplimientos)?</w:t>
      </w:r>
    </w:p>
    <w:p>
      <w:pPr>
        <w:pStyle w:val="ListNumber"/>
        <w:keepLines w:val="1"/>
        <w:keepNext w:val="1"/>
        <w:widowControl w:val="1"/>
      </w:pPr>
      <w:r>
        <w:t>Relevant (Relevante) – ¿Está directamente vinculada con objetivos y riesgos importantes para la organización o el país?</w:t>
      </w:r>
    </w:p>
    <w:p>
      <w:pPr>
        <w:pStyle w:val="ListNumber"/>
        <w:keepLines w:val="1"/>
        <w:keepNext w:val="1"/>
        <w:widowControl w:val="1"/>
      </w:pPr>
      <w:r>
        <w:t>Actionable (Accionable) – ¿Sugiere acciones claras que se pueden emprender para mejorar la situación?</w:t>
      </w:r>
    </w:p>
    <w:p>
      <w:pPr>
        <w:pStyle w:val="ListNumber"/>
        <w:keepLines w:val="1"/>
        <w:keepNext w:val="1"/>
        <w:widowControl w:val="1"/>
      </w:pPr>
      <w:r>
        <w:t>Genuine (Genuino) – ¿Refleja la realidad y no se ve fácilmente manipulada o maquillada?</w:t>
      </w:r>
    </w:p>
    <w:p>
      <w:pPr>
        <w:pStyle w:val="ListNumber"/>
        <w:keepLines w:val="1"/>
        <w:keepNext w:val="1"/>
        <w:widowControl w:val="1"/>
      </w:pPr>
      <w:r>
        <w:t>Meaningful (Significativo) – ¿Es comprensible para sus destinatarios y aporta contexto, no solo números?</w:t>
      </w:r>
    </w:p>
    <w:p>
      <w:pPr>
        <w:pStyle w:val="ListNumber"/>
        <w:keepLines w:val="1"/>
        <w:keepNext w:val="1"/>
        <w:widowControl w:val="1"/>
      </w:pPr>
      <w:r>
        <w:t>Accurate (Preciso) – ¿Es lo suficientemente precisa para soportar decisiones (sin ruido o errores excesivos)?</w:t>
      </w:r>
    </w:p>
    <w:p>
      <w:pPr>
        <w:pStyle w:val="ListNumber"/>
        <w:keepLines w:val="1"/>
        <w:keepNext w:val="1"/>
        <w:widowControl w:val="1"/>
      </w:pPr>
      <w:r>
        <w:t>Timely (Oportuno) – ¿Está disponible con la frecuencia y rapidez necesarias para influir en decisiones?</w:t>
      </w:r>
    </w:p>
    <w:p>
      <w:pPr>
        <w:pStyle w:val="ListNumber"/>
        <w:keepLines w:val="1"/>
        <w:keepNext w:val="1"/>
        <w:widowControl w:val="1"/>
      </w:pPr>
      <w:r>
        <w:t>Independent (Independiente) – ¿Depende lo menos posible de fuentes sesgadas o conflictivas? ¿Es verificable?</w:t>
      </w:r>
    </w:p>
    <w:p>
      <w:pPr>
        <w:pStyle w:val="ListNumber"/>
        <w:keepLines w:val="1"/>
        <w:widowControl w:val="1"/>
      </w:pPr>
      <w:r>
        <w:t>Cheap (Rentable) – ¿El coste de obtener y mantener la métrica es razonable frente al valor que aporta?</w:t>
      </w:r>
    </w:p>
    <w:p>
      <w:r>
        <w:t>Cada indicador Mx se puntúa en una escala, por ejemplo de 0 a 5, donde:</w:t>
      </w:r>
    </w:p>
    <w:p>
      <w:pPr>
        <w:pStyle w:val="ListBullet"/>
        <w:keepLines w:val="1"/>
        <w:keepNext w:val="1"/>
        <w:widowControl w:val="1"/>
      </w:pPr>
      <w:r>
        <w:t xml:space="preserve">0 = Muy pobre / no cumple.  </w:t>
      </w:r>
    </w:p>
    <w:p>
      <w:pPr>
        <w:pStyle w:val="ListBullet"/>
        <w:keepLines w:val="1"/>
        <w:keepNext w:val="1"/>
        <w:widowControl w:val="1"/>
      </w:pPr>
      <w:r>
        <w:t xml:space="preserve">1–2 = Débil.  </w:t>
      </w:r>
    </w:p>
    <w:p>
      <w:pPr>
        <w:pStyle w:val="ListBullet"/>
        <w:keepLines w:val="1"/>
        <w:keepNext w:val="1"/>
        <w:widowControl w:val="1"/>
      </w:pPr>
      <w:r>
        <w:t xml:space="preserve">3 = Aceptable.  </w:t>
      </w:r>
    </w:p>
    <w:p>
      <w:pPr>
        <w:pStyle w:val="ListBullet"/>
        <w:keepLines w:val="1"/>
        <w:keepNext w:val="1"/>
        <w:widowControl w:val="1"/>
      </w:pPr>
      <w:r>
        <w:t xml:space="preserve">4 = Bueno.  </w:t>
      </w:r>
    </w:p>
    <w:p>
      <w:pPr>
        <w:pStyle w:val="ListBullet"/>
        <w:keepLines w:val="1"/>
        <w:widowControl w:val="1"/>
      </w:pPr>
      <w:r>
        <w:t>5 = Excelente.</w:t>
      </w:r>
    </w:p>
    <w:p>
      <w:r>
        <w:t>La "Matriz de Evaluación PRAGMATIC Completa" contiene las puntuaciones y justificaciones para cada Mx.</w:t>
      </w:r>
    </w:p>
    <w:p>
      <w:pPr>
        <w:pStyle w:val="Heading2"/>
        <w:keepNext/>
        <w:keepLines/>
      </w:pPr>
      <w:r>
        <w:rPr>
          <w:color w:val="0066CC"/>
        </w:rPr>
        <w:t>6. Integración GQM + PRAGMATIC en el ciclo de vida de los indicadores</w:t>
      </w:r>
    </w:p>
    <w:p>
      <w:pPr>
        <w:pStyle w:val="Heading3"/>
        <w:keepNext/>
        <w:keepLines/>
      </w:pPr>
      <w:r>
        <w:t>6.1. Fases</w:t>
      </w:r>
    </w:p>
    <w:p>
      <w:pPr>
        <w:pStyle w:val="ListNumber"/>
        <w:keepLines w:val="1"/>
        <w:keepNext w:val="1"/>
        <w:widowControl w:val="1"/>
      </w:pPr>
      <w:r>
        <w:t xml:space="preserve">Definición (GQM) </w:t>
      </w:r>
    </w:p>
    <w:p>
      <w:pPr>
        <w:pStyle w:val="ListNumber"/>
        <w:keepLines w:val="1"/>
        <w:keepNext w:val="1"/>
        <w:widowControl w:val="1"/>
      </w:pPr>
      <w:r>
        <w:t xml:space="preserve">Identificar metas nacionales/sectoriales (NIS2, ENS, estrategias nacionales).[web:21][web:24][web:60][web:72][web:77]  </w:t>
      </w:r>
    </w:p>
    <w:p>
      <w:pPr>
        <w:pStyle w:val="ListNumber"/>
        <w:keepLines w:val="1"/>
        <w:keepNext w:val="1"/>
        <w:widowControl w:val="1"/>
      </w:pPr>
      <w:r>
        <w:t xml:space="preserve">Derivar preguntas de evaluación.  </w:t>
      </w:r>
    </w:p>
    <w:p>
      <w:pPr>
        <w:pStyle w:val="ListNumber"/>
        <w:keepLines w:val="1"/>
        <w:keepNext w:val="1"/>
        <w:widowControl w:val="1"/>
      </w:pPr>
      <w:r>
        <w:br/>
        <w:t>Seleccionar/definir métricas candidatas (M1–M15).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Evaluación (PRAGMATIC) </w:t>
        <w:br/>
      </w:r>
    </w:p>
    <w:p>
      <w:pPr>
        <w:pStyle w:val="ListNumber"/>
        <w:keepLines w:val="1"/>
        <w:keepNext w:val="1"/>
        <w:widowControl w:val="1"/>
      </w:pPr>
      <w:r>
        <w:t xml:space="preserve">Puntuar cada métrica según los nueve criterios.  </w:t>
      </w:r>
    </w:p>
    <w:p>
      <w:pPr>
        <w:pStyle w:val="ListNumber"/>
        <w:keepLines w:val="1"/>
        <w:keepNext w:val="1"/>
        <w:widowControl w:val="1"/>
      </w:pPr>
      <w:r>
        <w:t xml:space="preserve">Documentar fortalezas, debilidades y riesgos de uso.  </w:t>
      </w:r>
    </w:p>
    <w:p>
      <w:pPr>
        <w:pStyle w:val="ListNumber"/>
        <w:keepLines w:val="1"/>
        <w:keepNext w:val="1"/>
        <w:widowControl w:val="1"/>
      </w:pPr>
      <w:r>
        <w:br/>
        <w:t>Seleccionar un subconjunto “estrella” para dashboards de alto nivel.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Implantación </w:t>
        <w:br/>
      </w:r>
    </w:p>
    <w:p>
      <w:pPr>
        <w:pStyle w:val="ListNumber"/>
        <w:keepLines w:val="1"/>
        <w:keepNext w:val="1"/>
        <w:widowControl w:val="1"/>
      </w:pPr>
      <w:r>
        <w:t xml:space="preserve">Integrar métricas en procesos y herramientas (inventarios, gestores de vulnerabilidades, SAMM, ASVS, etc.).[web:2][web:68][web:97][web:100]  </w:t>
      </w:r>
    </w:p>
    <w:p>
      <w:pPr>
        <w:pStyle w:val="ListNumber"/>
        <w:keepLines w:val="1"/>
        <w:keepNext w:val="1"/>
        <w:widowControl w:val="1"/>
      </w:pPr>
      <w:r>
        <w:br/>
        <w:t>Asegurar responsabilidades claras de recogida y revisión.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Revisión y mejora </w:t>
        <w:br/>
      </w:r>
    </w:p>
    <w:p>
      <w:pPr>
        <w:pStyle w:val="ListNumber"/>
        <w:keepLines w:val="1"/>
        <w:keepNext w:val="1"/>
        <w:widowControl w:val="1"/>
      </w:pPr>
      <w:r>
        <w:t xml:space="preserve">Revisar periódicamente metas, preguntas y métricas a la luz de datos empíricos.  </w:t>
      </w:r>
    </w:p>
    <w:p>
      <w:pPr>
        <w:pStyle w:val="ListNumber"/>
        <w:keepLines w:val="1"/>
        <w:widowControl w:val="1"/>
      </w:pPr>
      <w:r>
        <w:t>Recalibrar ponderaciones (por ejemplo, en el IGM) y descartar métricas que puntúen mal en PRAGMATIC sin justificación.</w:t>
      </w:r>
    </w:p>
    <w:p>
      <w:r>
        <w:t>Seleccionar/definir métricas candidatas (M1–M15).</w:t>
      </w:r>
    </w:p>
    <w:p>
      <w:r>
        <w:rPr>
          <w:b/>
        </w:rPr>
        <w:t>Evaluación (PRAGMATIC)</w:t>
      </w:r>
      <w:r>
        <w:t xml:space="preserve"> </w:t>
      </w:r>
    </w:p>
    <w:p>
      <w:r>
        <w:t>Seleccionar un subconjunto “estrella” para dashboards de alto nivel.</w:t>
      </w:r>
    </w:p>
    <w:p>
      <w:r>
        <w:rPr>
          <w:b/>
        </w:rPr>
        <w:t>Implantación</w:t>
      </w:r>
      <w:r>
        <w:t xml:space="preserve"> </w:t>
      </w:r>
    </w:p>
    <w:p>
      <w:r>
        <w:t>Asegurar responsabilidades claras de recogida y revisión.</w:t>
      </w:r>
    </w:p>
    <w:p>
      <w:r>
        <w:rPr>
          <w:b/>
        </w:rPr>
        <w:t>Revisión y mejora</w:t>
      </w:r>
      <w:r>
        <w:t xml:space="preserve"> </w:t>
      </w:r>
    </w:p>
    <w:p>
      <w:pPr>
        <w:pStyle w:val="Heading3"/>
        <w:keepNext/>
        <w:keepLines/>
      </w:pPr>
      <w:r>
        <w:t>6.2. Ejemplo de decisiones basadas en PRAGMATIC</w:t>
      </w:r>
    </w:p>
    <w:p>
      <w:pPr>
        <w:pStyle w:val="ListBullet"/>
        <w:keepLines w:val="1"/>
        <w:keepNext w:val="1"/>
        <w:widowControl w:val="1"/>
      </w:pPr>
      <w:r>
        <w:t>Si una métrica es muy precisa pero poco accionable, conviene complementarla con otra que señale mejor el “qué hacer”.</w:t>
      </w:r>
    </w:p>
    <w:p>
      <w:pPr>
        <w:pStyle w:val="ListBullet"/>
        <w:keepLines w:val="1"/>
        <w:keepNext w:val="1"/>
        <w:widowControl w:val="1"/>
      </w:pPr>
      <w:r>
        <w:t>Si una métrica es muy predictiva pero poco genuina (fácil de maquillar), habrá que reforzar controles de calidad o buscar alternativas.</w:t>
      </w:r>
    </w:p>
    <w:p>
      <w:pPr>
        <w:pStyle w:val="ListBullet"/>
        <w:keepLines w:val="1"/>
        <w:widowControl w:val="1"/>
      </w:pPr>
      <w:r>
        <w:t>Si una métrica es muy relevante pero nada rentable de medir a escala nacional, quizá deba reservarse para estudios puntuales o muestras.^</w:t>
      </w:r>
    </w:p>
    <w:p>
      <w:pPr>
        <w:pStyle w:val="Heading2"/>
        <w:keepNext/>
        <w:keepLines/>
      </w:pPr>
      <w:r>
        <w:rPr>
          <w:color w:val="0066CC"/>
        </w:rPr>
        <w:t>7. Alineamiento con OWASP, NIS2 y ENS</w:t>
      </w:r>
    </w:p>
    <w:p>
      <w:r>
        <w:t>Este marco integrativo se apoya en:</w:t>
      </w:r>
    </w:p>
    <w:p>
      <w:pPr>
        <w:pStyle w:val="ListBullet"/>
        <w:keepLines w:val="1"/>
        <w:keepNext w:val="1"/>
        <w:widowControl w:val="1"/>
      </w:pPr>
      <w:r>
        <w:t>La orientación a metas y madurez de OWASP SAMM (especialmente la práctica "Strategy and Metrics").[web:68][web:70][web:100]</w:t>
      </w:r>
    </w:p>
    <w:p>
      <w:pPr>
        <w:pStyle w:val="ListBullet"/>
        <w:keepLines w:val="1"/>
        <w:keepNext w:val="1"/>
        <w:widowControl w:val="1"/>
      </w:pPr>
      <w:r>
        <w:t>El énfasis de OWASP Security Culture en métricas que cuenten una historia útil y permitan justificar acciones y recursos.[web:2][web:97]</w:t>
      </w:r>
    </w:p>
    <w:p>
      <w:pPr>
        <w:pStyle w:val="ListBullet"/>
        <w:keepLines w:val="1"/>
        <w:widowControl w:val="1"/>
      </w:pPr>
      <w:r>
        <w:t>La necesidad, recogida en NIS2 y ENS, de que las medidas de seguridad sean proporcionadas al riesgo, lo que exige métricas robustas y alineadas con objetivos reales.[web:21][web:24][web:60][web:72][web:77]</w:t>
      </w:r>
    </w:p>
    <w:p>
      <w:r>
        <w:t>GQM garantiza que cada indicador OWASP tenga sentido en el contexto de los objetivos nacionales; PRAGMATIC ayuda a decidir qué indicadores merecen realmente un lugar en el cuadro de mando.</w:t>
      </w:r>
    </w:p>
    <w:p>
      <w:r>
        <w:t>Este documento sirve como marco conceptual; las plantillas, matrices y guías operativas asociadas completan el "kit" para llevarlo a la práctica.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