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Completa – Indicadores OWASP 2025 (M1–M15)</w:t>
      </w:r>
    </w:p>
    <w:p>
      <w:r>
        <w:t>Versión 1.0 – Borrador. Escala de puntuación por criterio: 0 (muy pobre) a 5 (excelente).</w:t>
      </w:r>
    </w:p>
    <w:p>
      <w:r>
        <w:t>Esta matriz resume, para cada indicador M1–M15, su objetivo GQM sintetizado y la valoración cualitativa según los nueve criterios PRAGMATIC.</w:t>
      </w:r>
    </w:p>
    <w:p>
      <w:pPr>
        <w:pStyle w:val="Heading2"/>
        <w:keepNext/>
        <w:keepLines/>
      </w:pPr>
      <w:r>
        <w:rPr>
          <w:color w:val="0066CC"/>
        </w:rPr>
        <w:t>1. Leyenda de puntuaciones</w:t>
      </w:r>
    </w:p>
    <w:p>
      <w:pPr>
        <w:pStyle w:val="ListBullet"/>
        <w:keepLines w:val="1"/>
        <w:keepNext w:val="1"/>
        <w:widowControl w:val="1"/>
      </w:pPr>
      <w:r>
        <w:t>5 – Excelente: Cumple de forma sobresaliente el criterio, con pocas reservas prácticas.</w:t>
      </w:r>
    </w:p>
    <w:p>
      <w:pPr>
        <w:pStyle w:val="ListBullet"/>
        <w:keepLines w:val="1"/>
        <w:keepNext w:val="1"/>
        <w:widowControl w:val="1"/>
      </w:pPr>
      <w:r>
        <w:t>4 – Buena: Cumple bien el criterio; las limitaciones son asumibles.</w:t>
      </w:r>
    </w:p>
    <w:p>
      <w:pPr>
        <w:pStyle w:val="ListBullet"/>
        <w:keepLines w:val="1"/>
        <w:keepNext w:val="1"/>
        <w:widowControl w:val="1"/>
      </w:pPr>
      <w:r>
        <w:t>3 – Aceptable: Cumple lo mínimo razonable; requiere contexto y prudencia.</w:t>
      </w:r>
    </w:p>
    <w:p>
      <w:pPr>
        <w:pStyle w:val="ListBullet"/>
        <w:keepLines w:val="1"/>
        <w:keepNext w:val="1"/>
        <w:widowControl w:val="1"/>
      </w:pPr>
      <w:r>
        <w:t>2 – Débil: Cumple parcialmente; solo útil en combinación con otros indicadores.</w:t>
      </w:r>
    </w:p>
    <w:p>
      <w:pPr>
        <w:pStyle w:val="ListBullet"/>
        <w:keepLines w:val="1"/>
        <w:keepNext w:val="1"/>
        <w:widowControl w:val="1"/>
      </w:pPr>
      <w:r>
        <w:t>1 – Muy débil: Utilidad limitada; generalmente desaconsejado como métrica principal.</w:t>
      </w:r>
    </w:p>
    <w:p>
      <w:pPr>
        <w:pStyle w:val="ListBullet"/>
        <w:keepLines w:val="1"/>
        <w:widowControl w:val="1"/>
      </w:pPr>
      <w:r>
        <w:t>0 – Nulo: No cumple o induce a conclusiones engañosas.</w:t>
      </w:r>
    </w:p>
    <w:p>
      <w:pPr>
        <w:pStyle w:val="Heading2"/>
        <w:keepNext/>
        <w:keepLines/>
      </w:pPr>
      <w:r>
        <w:rPr>
          <w:color w:val="0066CC"/>
        </w:rPr>
        <w:t>2. Matriz PRAGMATIC para M1–M15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cantSplit w:val="1"/>
        </w:trPr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 GQM (resumen)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 (Predictivo)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 (Relevante)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 (Accionable)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 (Genuino)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 (Significativo)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 (Preciso)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 (Oportuno)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 (Independiente)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 (Rentable)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 sintético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Cuantificar la exposición estructural a vulnerabilidades OWASP Top 10:2025 en sistemas españoles.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Muy útil para anticipar tendencia de riesgo técnico por categoría; depende de calidad del inventario y reporting de CVEs, con coste de consolidación moderado.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Evaluar robustez de activos críticos frente a A01–A03 (acceso, configuración, cadena de suministro).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Altamente alineado con NIS2/ENS; directamente accionable (priorizar remediación en activos “no limpios”); precisión sujeta a calidad de escaneos y definición de criticidad.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Medir cobertura de pruebas de seguridad explícitamente mapeadas a Top 10:2025.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Buena aproximación a capacidad de detección; predictivo a medio plazo sobre hallazgos; relativamente barata si se apoya en herramientas CI/CD y ASPM.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Medir el tiempo medio de remediación de vulnerabilidades Top 10 en activos críticos.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Indicador clásico de eficiencia operacional, muy accionable (ajuste de SLAs, recursos); precisión razonable si se usa ticketing centralizado; recogida de datos de bajo coste incremental.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Evaluar madurez media SAMM por función (Gobernanza, Diseño, Implementación, Verificación, Operaciones).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Buen termómetro de capacidad; predictivo pero a medio-largo plazo; requiere autoevaluaciones y cierto esfuerzo de facilitación, pero costes controlables con plantillas SAMM.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M6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Estimar % de entidades con nivel ≥2 en “Strategy and Metrics” (SAMM).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Refuerza la visión de gobernanza basada en métricas; útil para políticas nacionales; depende de honestidad y consistencia en autoevaluaciones.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M7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Medir la pendiente de mejora SAMM (ΔSAMM) anual por práctica.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Buen indicador de dinámica de cambio (no solo foto fija); predictivo sobre evolución futura; barato una vez implantado M5/M6.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M8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Medir la cobertura de autoevaluaciones SAMM en sectores regulados.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Mide más la disciplina de medición que la seguridad en sí; muy barato y fácil de verificar; útil como indicador de “higiene de métricas”.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M9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Evaluar la adecuación de niveles ASVS a la criticidad ENS/NIS2 de las aplicaciones.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Muy relevante y accionable (subir niveles ASVS para apps críticas); predictivo de probabilidad de fallos técnicos serios; exige clasificaciones y evaluaciones ASVS sistemáticas.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M10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Medir % de requisitos ASVS cumplidos por capítulo técnico.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Excelente para identificar áreas técnicas débiles (autenticación, criptografía, etc.); requiere mapeo disciplinado de controles y puede ser costoso si se hace manualmente.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M11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Medir cobertura de pruebas frente a requisitos ASVS (automatizadas y manuales).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Completa a M10: habla de “musculatura de verificación”; predictivo en la medida en que mayor cobertura tiende a correlacionar con menos defectos en producción.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M12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Medir ratio de requisitos ASVS no cumplidos detectados en producción por volumen de uso.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Métrica muy significativa (mide deuda de seguridad que escapa al SDLC); accionable (refuerzo de fases débiles); dependiente de la calidad de incidentes/auditorías, recopilación algo más costosa.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M13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Medir distribución de severidad OWASP (baja/media/alta) en infraestructuras críticas.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Complementa a CVSS con enfoque OWASP; útil para priorizar sectores y sistemas; predictivo de probabilidad de incidentes, aunque dependiente de metodologías de scoring coherentes.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M14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Medir riesgo medio OWASP normalizado por sector (score 1–10).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Muy potente para comparativas intersectoriales y priorización de políticas; altamente predictivo a nivel macro; exige modelo de cálculo transparente y datos fiables.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</w:pPr>
            <w:r>
              <w:t>M15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Medir tiempo medio desde detección técnica hasta decisión ejecutiva de riesgo.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Excelente indicador de gobernanza y alineamiento técnico–negocio; muy accionable (reforma de flujos de decisión); coste de medición moderado si se integran flujos de reporte.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3. Lectura transversal de la matriz</w:t>
      </w:r>
    </w:p>
    <w:p>
      <w:pPr>
        <w:pStyle w:val="ListBullet"/>
        <w:keepLines w:val="1"/>
        <w:keepNext w:val="1"/>
        <w:widowControl w:val="1"/>
      </w:pPr>
      <w:r>
        <w:t>La mayoría de métricas M1–M15 puntúan alto en Relevancia (R), al estar alineadas con riesgos y obligaciones de NIS2/ENS y con prácticas OWASP ampliamente reconocidas.[web:2][web:21][web:24][web:68][web:97]</w:t>
      </w:r>
    </w:p>
    <w:p>
      <w:pPr>
        <w:pStyle w:val="ListBullet"/>
        <w:keepLines w:val="1"/>
        <w:keepNext w:val="1"/>
        <w:widowControl w:val="1"/>
      </w:pPr>
      <w:r>
        <w:t>Las métricas más operativas (M2, M4, M9, M12, M15) destacan en Accionabilidad, al vincularse claramente con decisiones concretas (remediación priorizada, elevación de niveles ASVS, cambios en flujos de decisión).</w:t>
      </w:r>
    </w:p>
    <w:p>
      <w:pPr>
        <w:pStyle w:val="ListBullet"/>
        <w:keepLines w:val="1"/>
        <w:keepNext w:val="1"/>
        <w:widowControl w:val="1"/>
      </w:pPr>
      <w:r>
        <w:t>Métricas como M5–M8 (SAMM) son especialmente útiles para políticas de madurez de programa, con alta relevancia estratégica pero menor inmediatez en predicción de incidentes.</w:t>
      </w:r>
    </w:p>
    <w:p>
      <w:pPr>
        <w:pStyle w:val="ListBullet"/>
        <w:keepLines w:val="1"/>
        <w:widowControl w:val="1"/>
      </w:pPr>
      <w:r>
        <w:t>M1, M13 y M14 aportan mayor peso predictivo a escala macro, siempre que se disponga de una base de datos de vulnerabilidades y riesgos suficientemente amplia y de calidad.[web:87][web:95][web:98][web:99]</w:t>
      </w:r>
    </w:p>
    <w:p>
      <w:r>
        <w:t>En el uso práctico, se recomienda:</w:t>
      </w:r>
    </w:p>
    <w:p>
      <w:pPr>
        <w:pStyle w:val="ListBullet"/>
        <w:keepLines w:val="1"/>
        <w:keepNext w:val="1"/>
        <w:widowControl w:val="1"/>
      </w:pPr>
      <w:r>
        <w:t>Seleccionar un subconjunto de métricas con puntuaciones globales altas (por ejemplo, M2, M4, M9, M12, M14, M15) para cuadros de mando de alto nivel.</w:t>
      </w:r>
    </w:p>
    <w:p>
      <w:pPr>
        <w:pStyle w:val="ListBullet"/>
        <w:keepLines w:val="1"/>
        <w:keepNext w:val="1"/>
        <w:widowControl w:val="1"/>
      </w:pPr>
      <w:r>
        <w:t>Mantener el resto como indicadores de segundo nivel o de diagnóstico detallado.</w:t>
      </w:r>
    </w:p>
    <w:p>
      <w:pPr>
        <w:pStyle w:val="ListBullet"/>
        <w:keepLines w:val="1"/>
        <w:widowControl w:val="1"/>
      </w:pPr>
      <w:r>
        <w:t>Revisar periódicamente las puntuaciones PRAGMATIC a la luz de la experiencia real.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