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para participantes – Encuesta OWASP 2025 – España</w:t>
      </w:r>
    </w:p>
    <w:p>
      <w:r>
        <w:t>Texto para correo de invitación, página de presentación de la encuesta o nota del CISO</w:t>
      </w:r>
    </w:p>
    <w:p>
      <w:pPr>
        <w:pStyle w:val="Heading2"/>
        <w:keepNext/>
        <w:keepLines/>
      </w:pPr>
      <w:r>
        <w:rPr>
          <w:color w:val="0066CC"/>
        </w:rPr>
        <w:t>1. ¿Por qué recibe usted esta encuesta?</w:t>
      </w:r>
    </w:p>
    <w:p>
      <w:r>
        <w:t>Si está leyendo estas líneas, es muy probable que tenga responsabilidad –formal o de facto– sobre la salud digital de su organización. Es decir, que cuando algo se cae, se cifra o se filtra, su teléfono forma parte del ecosistema de aparatos que empiezan a vibrar.</w:t>
      </w:r>
    </w:p>
    <w:p>
      <w:r>
        <w:t>La presente encuesta forma parte de un esfuerzo coordinado para medir, con un poco más de ciencia y un poco menos de corazonadas, el grado de madurez de las organizaciones españolas en materia de seguridad de aplicaciones y ciberresiliencia, utilizando como brújula los marcos de OWASP (Top 10:2025, SAMM y ASVS 5.0) y las exigencias de NIS2 y del Esquema Nacional de Seguridad.</w:t>
      </w:r>
    </w:p>
    <w:p>
      <w:r>
        <w:t>No se trata de un examen, sino de una radiografía: no buscamos culpables, sino datos.</w:t>
      </w:r>
    </w:p>
    <w:p>
      <w:pPr>
        <w:pStyle w:val="Heading2"/>
        <w:keepNext/>
        <w:keepLines/>
      </w:pPr>
      <w:r>
        <w:rPr>
          <w:color w:val="0066CC"/>
        </w:rPr>
        <w:t>2. ¿Qué queremos saber exactamente?</w:t>
      </w:r>
    </w:p>
    <w:p>
      <w:r>
        <w:t>En términos muy sencillos, la encuesta pretende responder a preguntas como:</w:t>
      </w:r>
    </w:p>
    <w:p>
      <w:pPr>
        <w:pStyle w:val="ListBullet"/>
        <w:keepLines w:val="1"/>
        <w:keepNext w:val="1"/>
        <w:widowControl w:val="1"/>
      </w:pPr>
      <w:r>
        <w:t>¿Hasta qué punto las vulnerabilidades que realmente nos afectan se parecen a las que describe OWASP en su Top 10:2025?</w:t>
      </w:r>
    </w:p>
    <w:p>
      <w:pPr>
        <w:pStyle w:val="ListBullet"/>
        <w:keepLines w:val="1"/>
        <w:keepNext w:val="1"/>
        <w:widowControl w:val="1"/>
      </w:pPr>
      <w:r>
        <w:t>¿Qué grado de madurez tienen nuestros programas de desarrollo seguro, medidos con el modelo OWASP SAMM?</w:t>
      </w:r>
    </w:p>
    <w:p>
      <w:pPr>
        <w:pStyle w:val="ListBullet"/>
        <w:keepLines w:val="1"/>
        <w:keepNext w:val="1"/>
        <w:widowControl w:val="1"/>
      </w:pPr>
      <w:r>
        <w:t>¿Verificamos nuestras aplicaciones con la profundidad que propone OWASP ASVS, o confiamos en pruebas esporádicas y la buena voluntad de los desarrolladores?</w:t>
      </w:r>
    </w:p>
    <w:p>
      <w:pPr>
        <w:pStyle w:val="ListBullet"/>
        <w:keepLines w:val="1"/>
        <w:keepNext w:val="1"/>
        <w:widowControl w:val="1"/>
      </w:pPr>
      <w:r>
        <w:t>¿Cómo de conectadas están las decisiones de riesgo técnico con la alta dirección y con las obligaciones de NIS2 y ENS?</w:t>
      </w:r>
    </w:p>
    <w:p>
      <w:pPr>
        <w:pStyle w:val="ListBullet"/>
        <w:keepLines w:val="1"/>
        <w:widowControl w:val="1"/>
      </w:pPr>
      <w:r>
        <w:t>¿Qué papel juegan la cultura, la formación y la cadena de suministro en el cuadro completo?</w:t>
      </w:r>
    </w:p>
    <w:p>
      <w:r>
        <w:t>En resumen: queremos dibujar un mapa de dónde estamos y hacia dónde deberíamos movernos.</w:t>
      </w:r>
    </w:p>
    <w:p>
      <w:pPr>
        <w:pStyle w:val="Heading2"/>
        <w:keepNext/>
        <w:keepLines/>
      </w:pPr>
      <w:r>
        <w:rPr>
          <w:color w:val="0066CC"/>
        </w:rPr>
        <w:t>3. ¿Qué se hace con sus respuestas?</w:t>
      </w:r>
    </w:p>
    <w:p>
      <w:r>
        <w:t>Sus respuestas se utilizarán para:</w:t>
      </w:r>
    </w:p>
    <w:p>
      <w:pPr>
        <w:pStyle w:val="ListNumber"/>
        <w:keepLines w:val="1"/>
        <w:keepNext w:val="1"/>
        <w:widowControl w:val="1"/>
      </w:pPr>
      <w:r>
        <w:t>Calcular indicadores de madurez y exposición a nivel de organización (Índice Global de Madurez, subíndices OWASP, etc.).</w:t>
      </w:r>
    </w:p>
    <w:p>
      <w:pPr>
        <w:pStyle w:val="ListNumber"/>
        <w:keepLines w:val="1"/>
        <w:keepNext w:val="1"/>
        <w:widowControl w:val="1"/>
      </w:pPr>
      <w:r>
        <w:t>Agregar datos por sector, tamaño y tipo de entidad, de forma anonimizada.</w:t>
      </w:r>
    </w:p>
    <w:p>
      <w:pPr>
        <w:pStyle w:val="ListNumber"/>
        <w:keepLines w:val="1"/>
        <w:keepNext w:val="1"/>
        <w:widowControl w:val="1"/>
      </w:pPr>
      <w:r>
        <w:t>Elaborar informes que permitan:</w:t>
      </w:r>
    </w:p>
    <w:p>
      <w:pPr>
        <w:pStyle w:val="ListNumber"/>
        <w:keepLines w:val="1"/>
        <w:keepNext w:val="1"/>
        <w:widowControl w:val="1"/>
      </w:pPr>
      <w:r>
        <w:t>Identificar brechas comunes.</w:t>
      </w:r>
    </w:p>
    <w:p>
      <w:pPr>
        <w:pStyle w:val="ListNumber"/>
        <w:keepLines w:val="1"/>
        <w:keepNext w:val="1"/>
        <w:widowControl w:val="1"/>
      </w:pPr>
      <w:r>
        <w:t>Priorizar esfuerzos de mejora.</w:t>
      </w:r>
    </w:p>
    <w:p>
      <w:pPr>
        <w:pStyle w:val="ListNumber"/>
        <w:keepLines w:val="1"/>
        <w:widowControl w:val="1"/>
      </w:pPr>
      <w:r>
        <w:t>Informar políticas públicas y estrategias sectoriales.</w:t>
      </w:r>
    </w:p>
    <w:p>
      <w:r>
        <w:t>En ningún caso se publicarán resultados individualizados sin el consentimiento expreso de la organización. Los números sirven para aprender, no para señalar.</w:t>
      </w:r>
    </w:p>
    <w:p>
      <w:pPr>
        <w:pStyle w:val="Heading2"/>
        <w:keepNext/>
        <w:keepLines/>
      </w:pPr>
      <w:r>
        <w:rPr>
          <w:color w:val="0066CC"/>
        </w:rPr>
        <w:t>4. ¿Quién debería responder a la encuesta?</w:t>
      </w:r>
    </w:p>
    <w:p>
      <w:r>
        <w:t>La experiencia muestra que los mejores resultados se obtienen cuando la encuesta no la rellena una sola persona heroica, sino un pequeño equipo coordinado. La combinación ideal incluye perfiles como:</w:t>
      </w:r>
    </w:p>
    <w:p>
      <w:pPr>
        <w:pStyle w:val="ListBullet"/>
        <w:keepLines w:val="1"/>
        <w:keepNext w:val="1"/>
        <w:widowControl w:val="1"/>
      </w:pPr>
      <w:r>
        <w:t>CISO o responsable de ciberseguridad.</w:t>
      </w:r>
    </w:p>
    <w:p>
      <w:pPr>
        <w:pStyle w:val="ListBullet"/>
        <w:keepLines w:val="1"/>
        <w:keepNext w:val="1"/>
        <w:widowControl w:val="1"/>
      </w:pPr>
      <w:r>
        <w:t>Responsable de TI / infraestructura.</w:t>
      </w:r>
    </w:p>
    <w:p>
      <w:pPr>
        <w:pStyle w:val="ListBullet"/>
        <w:keepLines w:val="1"/>
        <w:keepNext w:val="1"/>
        <w:widowControl w:val="1"/>
      </w:pPr>
      <w:r>
        <w:t>Responsable de desarrollo / DevSecOps.</w:t>
      </w:r>
    </w:p>
    <w:p>
      <w:pPr>
        <w:pStyle w:val="ListBullet"/>
        <w:keepLines w:val="1"/>
        <w:widowControl w:val="1"/>
      </w:pPr>
      <w:r>
        <w:t>Responsable de gestión de riesgos y/o cumplimiento.</w:t>
      </w:r>
    </w:p>
    <w:p>
      <w:r>
        <w:t>No es necesario que todos respondan al formulario, pero sí que aporten su visión y datos en los bloques que les corresponden.</w:t>
      </w:r>
    </w:p>
    <w:p>
      <w:pPr>
        <w:pStyle w:val="Heading2"/>
        <w:keepNext/>
        <w:keepLines/>
      </w:pPr>
      <w:r>
        <w:rPr>
          <w:color w:val="0066CC"/>
        </w:rPr>
        <w:t>5. ¿Cuánto tiempo llevará?</w:t>
      </w:r>
    </w:p>
    <w:p>
      <w:r>
        <w:t>Si su organización tiene los datos razonablemente estructurados, completar la encuesta llevará entre 45 y 90 minutos. Si algunos datos exigen pequeñas expediciones arqueológicas a antiguos Excel o wikis, el tiempo puede ser algo mayor, pero la inversión suele amortizarse en forma de claridad y discusiones internas productivas.</w:t>
      </w:r>
    </w:p>
    <w:p>
      <w:r>
        <w:t>Puede completarse en varias sesiones, por bloques, y volver a ella tantas veces como sea necesario antes del envío final.</w:t>
      </w:r>
    </w:p>
    <w:p>
      <w:pPr>
        <w:pStyle w:val="Heading2"/>
        <w:keepNext/>
        <w:keepLines/>
      </w:pPr>
      <w:r>
        <w:rPr>
          <w:color w:val="0066CC"/>
        </w:rPr>
        <w:t>6. ¿Qué obtiene su organización a cambio?</w:t>
      </w:r>
    </w:p>
    <w:p>
      <w:r>
        <w:t>Además de la satisfacción íntima de contribuir a un diagnóstico nacional, su organización recibirá:</w:t>
      </w:r>
    </w:p>
    <w:p>
      <w:pPr>
        <w:pStyle w:val="ListBullet"/>
        <w:keepLines w:val="1"/>
        <w:keepNext w:val="1"/>
        <w:widowControl w:val="1"/>
      </w:pPr>
      <w:r>
        <w:t>Un informe individual con su puntuación en el Índice Global de Madurez y en los subíndices OWASP.</w:t>
      </w:r>
    </w:p>
    <w:p>
      <w:pPr>
        <w:pStyle w:val="ListBullet"/>
        <w:keepLines w:val="1"/>
        <w:keepNext w:val="1"/>
        <w:widowControl w:val="1"/>
      </w:pPr>
      <w:r>
        <w:t>Una comparación anónima con el promedio de su sector y de organizaciones de tamaño similar.</w:t>
      </w:r>
    </w:p>
    <w:p>
      <w:pPr>
        <w:pStyle w:val="ListBullet"/>
        <w:keepLines w:val="1"/>
        <w:widowControl w:val="1"/>
      </w:pPr>
      <w:r>
        <w:t>Recomendaciones generales de mejora alineadas con OWASP, NIS2 y ENS.</w:t>
      </w:r>
    </w:p>
    <w:p>
      <w:r>
        <w:t>En otras palabras: un espejo más nítido que el que proporcionan las presentaciones habituales de “estado de la ciberseguridad”.</w:t>
      </w:r>
    </w:p>
    <w:p>
      <w:pPr>
        <w:pStyle w:val="Heading2"/>
        <w:keepNext/>
        <w:keepLines/>
      </w:pPr>
      <w:r>
        <w:rPr>
          <w:color w:val="0066CC"/>
        </w:rPr>
        <w:t>7. ¿Cómo queremos que responda?</w:t>
      </w:r>
    </w:p>
    <w:p>
      <w:r>
        <w:t>Con honestidad. No pasa nada por marcar que algo no se hace, si ese es el caso; de hecho, es la única forma de que los resultados sean útiles. La encuesta está diseñada para que incluso las respuestas incómodas sean informativas, no incriminatorias.</w:t>
      </w:r>
    </w:p>
    <w:p>
      <w:r>
        <w:t>Algunas opciones de respuesta incluyen un toque irónico o literario. No es un accidente: a veces un poco de humor ayuda a nombrar realidades que preferimos evitar. Le rogamos que no confunda el estilo con ligereza: el objetivo es profundamente serio.</w:t>
      </w:r>
    </w:p>
    <w:p>
      <w:pPr>
        <w:pStyle w:val="Heading2"/>
        <w:keepNext/>
        <w:keepLines/>
      </w:pPr>
      <w:r>
        <w:rPr>
          <w:color w:val="0066CC"/>
        </w:rPr>
        <w:t>8. ¿Qué relación tiene todo esto con NIS2 y el ENS?</w:t>
      </w:r>
    </w:p>
    <w:p>
      <w:r>
        <w:t>Las preguntas no se han elegido al azar. Cada bloque está alineado con:</w:t>
      </w:r>
    </w:p>
    <w:p>
      <w:pPr>
        <w:pStyle w:val="ListBullet"/>
        <w:keepLines w:val="1"/>
        <w:keepNext w:val="1"/>
        <w:widowControl w:val="1"/>
      </w:pPr>
      <w:r>
        <w:t>Obligaciones de gestión de riesgos, medidas técnicas y gobernanza de NIS2.</w:t>
      </w:r>
    </w:p>
    <w:p>
      <w:pPr>
        <w:pStyle w:val="ListBullet"/>
        <w:keepLines w:val="1"/>
        <w:keepNext w:val="1"/>
        <w:widowControl w:val="1"/>
      </w:pPr>
      <w:r>
        <w:t>Exigencias del ENS en términos de análisis de riesgos, medidas organizativas, técnicas y de continuidad.</w:t>
      </w:r>
    </w:p>
    <w:p>
      <w:pPr>
        <w:pStyle w:val="ListBullet"/>
        <w:keepLines w:val="1"/>
        <w:widowControl w:val="1"/>
      </w:pPr>
      <w:r>
        <w:t>Mejores prácticas de OWASP en materia de desarrollo seguro y verificación.</w:t>
      </w:r>
    </w:p>
    <w:p>
      <w:r>
        <w:t>La idea es que los resultados le sirvan a usted tanto para hablar con desarrolladores y arquitectos en lenguaje OWASP como para dialogar con reguladores y auditores en idioma NIS2/ENS.</w:t>
      </w:r>
    </w:p>
    <w:p>
      <w:pPr>
        <w:pStyle w:val="Heading2"/>
        <w:keepNext/>
        <w:keepLines/>
      </w:pPr>
      <w:r>
        <w:rPr>
          <w:color w:val="0066CC"/>
        </w:rPr>
        <w:t>9. ¿Qué hacemos si no tenemos todos los datos?</w:t>
      </w:r>
    </w:p>
    <w:p>
      <w:r>
        <w:t>Es normal que algunas preguntas requieran estimaciones razonables o respuestas parciales. En esos casos:</w:t>
      </w:r>
    </w:p>
    <w:p>
      <w:pPr>
        <w:pStyle w:val="ListBullet"/>
        <w:keepLines w:val="1"/>
        <w:keepNext w:val="1"/>
        <w:widowControl w:val="1"/>
      </w:pPr>
      <w:r>
        <w:t>Use la mejor aproximación disponible, indicando en comentarios si se trata de una estimación.</w:t>
      </w:r>
    </w:p>
    <w:p>
      <w:pPr>
        <w:pStyle w:val="ListBullet"/>
        <w:keepLines w:val="1"/>
        <w:widowControl w:val="1"/>
      </w:pPr>
      <w:r>
        <w:t>Identifique qué datos le gustaría poder medir mejor en el futuro; esa lista suele ser el embrión de un buen plan de métricas.</w:t>
      </w:r>
    </w:p>
    <w:p>
      <w:r>
        <w:t>Lo importante es evitar dos extremos igualmente peligrosos: responder “no lo sé” a casi todo, o contestar “idealmente sí” en lugar de “realmente no”.</w:t>
      </w:r>
    </w:p>
    <w:p>
      <w:pPr>
        <w:pStyle w:val="Heading2"/>
        <w:keepNext/>
        <w:keepLines/>
      </w:pPr>
      <w:r>
        <w:rPr>
          <w:color w:val="0066CC"/>
        </w:rPr>
        <w:t>10. Cierre: una invitación propositiva</w:t>
      </w:r>
    </w:p>
    <w:p>
      <w:r>
        <w:t>Vivimos un momento en el que la ciberseguridad ha dejado de ser un asunto de especialistas para convertirse en tema de Consejo. La Directiva NIS2 y el ENS no son solo un nuevo capítulo regulatorio, sino una invitación a tomarse en serio la resiliencia digital.</w:t>
      </w:r>
    </w:p>
    <w:p>
      <w:r>
        <w:t>Esta encuesta aspira a ayudarle a poner números donde antes había intuiciones, y a traducir marcos técnicos como los de OWASP en conversaciones comprensibles para negocio y alta dirección.</w:t>
      </w:r>
    </w:p>
    <w:p>
      <w:r>
        <w:t>Si al terminarla siente que ha descubierto un par de cosas que preferiría no saber… enhorabuena: justo ahí empieza el trabajo interesante.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