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– Cálculo de IGM y ROI con marco GQM + PRAGMATIC</w:t>
      </w:r>
    </w:p>
    <w:p>
      <w:r>
        <w:t>Este documento describe cómo implementar una hoja de cálculo para:</w:t>
      </w:r>
      <w:r/>
      <w:r>
        <w:br/>
        <w:t>- Calcular el Índice Global de Madurez (IGM) y subíndices basados en los indicadores M1–M15.</w:t>
      </w:r>
      <w:r/>
      <w:r>
        <w:br/>
        <w:t>- Incorporar puntuaciones PRAGMATIC para selección/priorización de métricas.</w:t>
      </w:r>
      <w:r/>
      <w:r>
        <w:br/>
        <w:t>- Estimar de forma aproximada el ROI de seguridad.</w:t>
      </w:r>
    </w:p>
    <w:p>
      <w:pPr>
        <w:pStyle w:val="Heading2"/>
        <w:keepNext/>
        <w:keepLines/>
      </w:pPr>
      <w:r>
        <w:rPr>
          <w:color w:val="0066CC"/>
        </w:rPr>
        <w:t>1. Estructura recomendada del libro</w:t>
      </w:r>
    </w:p>
    <w:p>
      <w:r>
        <w:t>Se recomiendan, como mínimo, las siguientes hojas:</w:t>
      </w:r>
    </w:p>
    <w:p>
      <w:pPr>
        <w:pStyle w:val="ListNumber"/>
        <w:keepLines w:val="1"/>
        <w:keepNext w:val="1"/>
        <w:widowControl w:val="1"/>
      </w:pPr>
      <w:r>
        <w:t>Respuestas – Datos codificados de la encuesta/medición (valores de M1–M15 por organización o sector).</w:t>
      </w:r>
    </w:p>
    <w:p>
      <w:pPr>
        <w:pStyle w:val="ListNumber"/>
        <w:keepLines w:val="1"/>
        <w:keepNext w:val="1"/>
        <w:widowControl w:val="1"/>
      </w:pPr>
      <w:r>
        <w:t>Codificacion_Metricas – Tablas de codificación de respuestas a valores normalizados 0–100.</w:t>
      </w:r>
    </w:p>
    <w:p>
      <w:pPr>
        <w:pStyle w:val="ListNumber"/>
        <w:keepLines w:val="1"/>
        <w:keepNext w:val="1"/>
        <w:widowControl w:val="1"/>
      </w:pPr>
      <w:r>
        <w:t>GQM_Metricas – Metadatos de cada métrica (meta GQM, preguntas, fórmula, fuente, frecuencia).</w:t>
      </w:r>
    </w:p>
    <w:p>
      <w:pPr>
        <w:pStyle w:val="ListNumber"/>
        <w:keepLines w:val="1"/>
        <w:keepNext w:val="1"/>
        <w:widowControl w:val="1"/>
      </w:pPr>
      <w:r>
        <w:t>PRAGMATIC – Puntuaciones de cada métrica en los nueve criterios PRAGMATIC.</w:t>
      </w:r>
    </w:p>
    <w:p>
      <w:pPr>
        <w:pStyle w:val="ListNumber"/>
        <w:keepLines w:val="1"/>
        <w:keepNext w:val="1"/>
        <w:widowControl w:val="1"/>
      </w:pPr>
      <w:r>
        <w:t>IGM – Cálculo de subíndices y del Índice Global de Madurez.</w:t>
      </w:r>
    </w:p>
    <w:p>
      <w:pPr>
        <w:pStyle w:val="ListNumber"/>
        <w:keepLines w:val="1"/>
        <w:keepNext w:val="1"/>
        <w:widowControl w:val="1"/>
      </w:pPr>
      <w:r>
        <w:t>ROI – Cálculo del ROI de seguridad a partir de variaciones en el IGM y en el perfil de riesgo.</w:t>
      </w:r>
    </w:p>
    <w:p>
      <w:pPr>
        <w:pStyle w:val="ListNumber"/>
        <w:keepLines w:val="1"/>
        <w:widowControl w:val="1"/>
      </w:pPr>
      <w:r>
        <w:t>Parametros – Ponderaciones, umbrales, costes y otras constantes.</w:t>
      </w:r>
    </w:p>
    <w:p>
      <w:pPr>
        <w:pStyle w:val="Heading2"/>
        <w:keepNext/>
        <w:keepLines/>
      </w:pPr>
      <w:r>
        <w:rPr>
          <w:color w:val="0066CC"/>
        </w:rPr>
        <w:t>2. Hoja Respuestas</w:t>
      </w:r>
    </w:p>
    <w:p>
      <w:pPr>
        <w:pStyle w:val="Heading3"/>
        <w:keepNext/>
        <w:keepLines/>
      </w:pPr>
      <w:r>
        <w:t>2.1. Columnas básicas</w:t>
      </w:r>
    </w:p>
    <w:p>
      <w:pPr>
        <w:pStyle w:val="ListBullet"/>
        <w:keepLines w:val="1"/>
        <w:keepNext w:val="1"/>
        <w:widowControl w:val="1"/>
      </w:pPr>
      <w:r>
        <w:t>Columna A: ID_Entidad (código anonimizado de organización o sector).</w:t>
      </w:r>
    </w:p>
    <w:p>
      <w:pPr>
        <w:pStyle w:val="ListBullet"/>
        <w:keepLines w:val="1"/>
        <w:keepNext w:val="1"/>
        <w:widowControl w:val="1"/>
      </w:pPr>
      <w:r>
        <w:t>Columna B: Sector (código o texto).</w:t>
      </w:r>
    </w:p>
    <w:p>
      <w:pPr>
        <w:pStyle w:val="ListBullet"/>
        <w:keepLines w:val="1"/>
        <w:keepNext w:val="1"/>
        <w:widowControl w:val="1"/>
      </w:pPr>
      <w:r>
        <w:t>Columna C: Tamano (categoría tamaño).</w:t>
      </w:r>
    </w:p>
    <w:p>
      <w:pPr>
        <w:pStyle w:val="ListBullet"/>
        <w:keepLines w:val="1"/>
        <w:widowControl w:val="1"/>
      </w:pPr>
      <w:r>
        <w:t>Columnas D–R: valores numéricos para M1–M15 normalizados a 0–100.</w:t>
      </w:r>
    </w:p>
    <w:p>
      <w:r>
        <w:t>Ejemplo de cabeceras:</w:t>
      </w:r>
    </w:p>
    <w:p>
      <w:pPr>
        <w:pStyle w:val="ListBullet"/>
        <w:keepLines w:val="1"/>
        <w:keepNext w:val="1"/>
        <w:widowControl w:val="1"/>
      </w:pPr>
      <w:r>
        <w:t xml:space="preserve">M1_Densidad_OWASP </w:t>
      </w:r>
    </w:p>
    <w:p>
      <w:pPr>
        <w:pStyle w:val="ListBullet"/>
        <w:keepLines w:val="1"/>
        <w:keepNext w:val="1"/>
        <w:widowControl w:val="1"/>
      </w:pPr>
      <w:r>
        <w:t xml:space="preserve">M2_Activos_sin_A01_A03 </w:t>
      </w:r>
    </w:p>
    <w:p>
      <w:pPr>
        <w:pStyle w:val="ListBullet"/>
        <w:keepLines w:val="1"/>
        <w:keepNext w:val="1"/>
        <w:widowControl w:val="1"/>
      </w:pPr>
      <w:r>
        <w:t xml:space="preserve">M3_Cobertura_Top10 </w:t>
      </w:r>
    </w:p>
    <w:p>
      <w:pPr>
        <w:pStyle w:val="ListBullet"/>
        <w:keepLines w:val="1"/>
        <w:keepNext w:val="1"/>
        <w:widowControl w:val="1"/>
      </w:pPr>
      <w:r>
        <w:t>…</w:t>
      </w:r>
    </w:p>
    <w:p>
      <w:pPr>
        <w:pStyle w:val="ListBullet"/>
        <w:keepLines w:val="1"/>
        <w:widowControl w:val="1"/>
      </w:pPr>
      <w:r>
        <w:t>M15_Tiempo_Deteccion_Decision</w:t>
      </w:r>
    </w:p>
    <w:p>
      <w:r>
        <w:t xml:space="preserve">Nota: la normalización (0–100) se puede hacer directamente aquí o mediante referencias a </w:t>
      </w:r>
      <w:r>
        <w:rPr>
          <w:rFonts w:ascii="Courier New" w:hAnsi="Courier New"/>
          <w:sz w:val="18"/>
        </w:rPr>
        <w:t>Codificacion_Metricas</w:t>
      </w:r>
      <w:r>
        <w:t>.</w:t>
      </w:r>
    </w:p>
    <w:p>
      <w:pPr>
        <w:pStyle w:val="Heading3"/>
        <w:keepNext/>
        <w:keepLines/>
      </w:pPr>
      <w:r>
        <w:t>2.2. Captura de datos</w:t>
      </w:r>
    </w:p>
    <w:p>
      <w:pPr>
        <w:pStyle w:val="ListBullet"/>
        <w:keepLines w:val="1"/>
        <w:keepNext w:val="1"/>
        <w:widowControl w:val="1"/>
      </w:pPr>
      <w:r>
        <w:t>Para métricas cualitativas (por ejemplo, rangos de porcentaje o niveles SAMM), se recomienda almacenar el valor numérico normalizado, dejando el texto en Codificacion_Metricas.</w:t>
      </w:r>
    </w:p>
    <w:p>
      <w:pPr>
        <w:pStyle w:val="ListBullet"/>
        <w:keepLines w:val="1"/>
        <w:widowControl w:val="1"/>
      </w:pPr>
      <w:r>
        <w:t>Para métricas cuantitativas “puras” (por ejemplo, días de MTTR), se recomienda normalizar en función de rangos definidos en Parametros.</w:t>
      </w:r>
    </w:p>
    <w:p>
      <w:pPr>
        <w:pStyle w:val="Heading2"/>
        <w:keepNext/>
        <w:keepLines/>
      </w:pPr>
      <w:r>
        <w:rPr>
          <w:color w:val="0066CC"/>
        </w:rPr>
        <w:t>3. Hoja Codificacion_Metricas</w:t>
      </w:r>
    </w:p>
    <w:p>
      <w:pPr>
        <w:pStyle w:val="Heading3"/>
        <w:keepNext/>
        <w:keepLines/>
      </w:pPr>
      <w:r>
        <w:t>3.1. Estructura</w:t>
      </w:r>
    </w:p>
    <w:p>
      <w:r>
        <w:t>Por cada métrica Mx que se derive de una pregunta categórica, definir una tabla con: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ID_Metrica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Opcion_texto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Valor_bruto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Valor_0_100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0–25 % apps críticas analizadas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26–50 %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51–75 %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M3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76–100 %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100</w:t>
            </w:r>
          </w:p>
        </w:tc>
      </w:tr>
    </w:tbl>
    <w:p/>
    <w:p>
      <w:pPr>
        <w:pStyle w:val="Heading3"/>
        <w:keepNext/>
        <w:keepLines/>
      </w:pPr>
      <w:r>
        <w:t>3.2. Uso de funciones</w:t>
      </w:r>
    </w:p>
    <w:p>
      <w:r>
        <w:t xml:space="preserve">En </w:t>
      </w:r>
      <w:r>
        <w:rPr>
          <w:rFonts w:ascii="Courier New" w:hAnsi="Courier New"/>
          <w:sz w:val="18"/>
        </w:rPr>
        <w:t>Respuestas</w:t>
      </w:r>
      <w:r>
        <w:t xml:space="preserve">, las celdas pueden utilizar funciones como </w:t>
      </w:r>
      <w:r>
        <w:rPr>
          <w:rFonts w:ascii="Courier New" w:hAnsi="Courier New"/>
          <w:sz w:val="18"/>
        </w:rPr>
        <w:t>BUSCARV</w:t>
      </w:r>
      <w:r>
        <w:t>/</w:t>
      </w:r>
      <w:r>
        <w:rPr>
          <w:rFonts w:ascii="Courier New" w:hAnsi="Courier New"/>
          <w:sz w:val="18"/>
        </w:rPr>
        <w:t>VLOOKUP</w:t>
      </w:r>
      <w:r>
        <w:t xml:space="preserve"> para traducir código u opción textual a valor 0–100.</w:t>
      </w:r>
    </w:p>
    <w:p>
      <w:r>
        <w:t xml:space="preserve">Ejemplo (pseudocódigo en celda </w:t>
      </w:r>
      <w:r>
        <w:rPr>
          <w:rFonts w:ascii="Courier New" w:hAnsi="Courier New"/>
          <w:sz w:val="18"/>
        </w:rPr>
        <w:t>Respuestas!D2</w:t>
      </w:r>
      <w:r>
        <w:t>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=BUSCARV(Codigo_respuesta;Codificacion_Metricas!$A$2:$D$100;4;FALSO)</w:t>
        <w:br/>
      </w:r>
    </w:p>
    <w:p>
      <w:pPr>
        <w:pStyle w:val="Heading2"/>
        <w:keepNext/>
        <w:keepLines/>
      </w:pPr>
      <w:r>
        <w:rPr>
          <w:color w:val="0066CC"/>
        </w:rPr>
        <w:t>4. Hoja GQM_Metricas</w:t>
      </w:r>
    </w:p>
    <w:p>
      <w:pPr>
        <w:pStyle w:val="Heading3"/>
        <w:keepNext/>
        <w:keepLines/>
      </w:pPr>
      <w:r>
        <w:t>4.1. Metadatos por métrica</w:t>
      </w:r>
    </w:p>
    <w:p>
      <w:r>
        <w:t>Tabla ejemplo: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ID_Metrica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Meta_GQM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Preguntas_GQM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Definicion_formal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Fuente_datos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M1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Cuantificar exposición estructural a vulnerabilidades OWASP Top 10.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Q1.1, Q1.2, Q1.3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Vulnerabilidades OWASP Top 10 por 100 activos.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vulns/100 activos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INCIBE/CCN + inventarios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Anual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M2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Evaluar robustez de activos críticos frente a A01–A03.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Q2.1, Q2.2, Q2.3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% activos críticos sin vulns A01–A03 altas/críticas.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%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Gestor de vulns + CMDB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Trimestral</w:t>
            </w:r>
          </w:p>
        </w:tc>
      </w:tr>
    </w:tbl>
    <w:p/>
    <w:p>
      <w:pPr>
        <w:pStyle w:val="Heading3"/>
        <w:keepNext/>
        <w:keepLines/>
      </w:pPr>
      <w:r>
        <w:t>4.2. Uso</w:t>
      </w:r>
    </w:p>
    <w:p>
      <w:r>
        <w:t>Esta hoja no se usa directamente en cálculos, pero sirve para documentación, auditoría interna y formación.</w:t>
      </w:r>
    </w:p>
    <w:p>
      <w:pPr>
        <w:pStyle w:val="Heading2"/>
        <w:keepNext/>
        <w:keepLines/>
      </w:pPr>
      <w:r>
        <w:rPr>
          <w:color w:val="0066CC"/>
        </w:rPr>
        <w:t>5. Hoja PRAGMATIC</w:t>
      </w:r>
    </w:p>
    <w:p>
      <w:pPr>
        <w:pStyle w:val="Heading3"/>
        <w:keepNext/>
        <w:keepLines/>
      </w:pPr>
      <w:r>
        <w:t>5.1. Tabla de puntuaciones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ID_Metrica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P_Predictivo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R_Relevante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A_Accionable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G_Genuino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M_Significativo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A_Preciso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T_Oportuno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I_Indep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C_Rentable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Nota_global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=PROMEDIO(B2:J2)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=PROMEDIO(B3:J3)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…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…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…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…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…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…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…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…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…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…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…</w:t>
            </w:r>
          </w:p>
        </w:tc>
      </w:tr>
    </w:tbl>
    <w:p/>
    <w:p>
      <w:pPr>
        <w:pStyle w:val="Heading3"/>
        <w:keepNext/>
        <w:keepLines/>
      </w:pPr>
      <w:r>
        <w:t>5.2. Uso en selección de métricas</w:t>
      </w:r>
    </w:p>
    <w:p>
      <w:pPr>
        <w:pStyle w:val="ListBullet"/>
        <w:keepLines w:val="1"/>
        <w:keepNext w:val="1"/>
        <w:widowControl w:val="1"/>
      </w:pPr>
      <w:r>
        <w:t>La columna Nota_global permite ordenar las métricas por “calidad PRAGMATIC”.</w:t>
      </w:r>
    </w:p>
    <w:p>
      <w:pPr>
        <w:pStyle w:val="ListBullet"/>
        <w:keepLines w:val="1"/>
        <w:widowControl w:val="1"/>
      </w:pPr>
      <w:r>
        <w:t>En Parametros se puede definir un umbral (por ejemplo, ≥3,5) para elegir métricas “core” para el IGM.</w:t>
      </w:r>
    </w:p>
    <w:p>
      <w:pPr>
        <w:pStyle w:val="Heading2"/>
        <w:keepNext/>
        <w:keepLines/>
      </w:pPr>
      <w:r>
        <w:rPr>
          <w:color w:val="0066CC"/>
        </w:rPr>
        <w:t>6. Hoja IGM</w:t>
      </w:r>
    </w:p>
    <w:p>
      <w:pPr>
        <w:pStyle w:val="Heading3"/>
        <w:keepNext/>
        <w:keepLines/>
      </w:pPr>
      <w:r>
        <w:t>6.1. Subíndices</w:t>
      </w:r>
    </w:p>
    <w:p>
      <w:r>
        <w:t>Se recomienda definir cuatro subíndices:</w:t>
      </w:r>
    </w:p>
    <w:p>
      <w:pPr>
        <w:pStyle w:val="ListBullet"/>
        <w:keepLines w:val="1"/>
        <w:keepNext w:val="1"/>
        <w:widowControl w:val="1"/>
      </w:pPr>
      <w:r>
        <w:t>IGM_Exposicion – basado en M1–M4 (Top 10).</w:t>
      </w:r>
    </w:p>
    <w:p>
      <w:pPr>
        <w:pStyle w:val="ListBullet"/>
        <w:keepLines w:val="1"/>
        <w:keepNext w:val="1"/>
        <w:widowControl w:val="1"/>
      </w:pPr>
      <w:r>
        <w:t>IGM_SAMM – basado en M5–M8.</w:t>
      </w:r>
    </w:p>
    <w:p>
      <w:pPr>
        <w:pStyle w:val="ListBullet"/>
        <w:keepLines w:val="1"/>
        <w:keepNext w:val="1"/>
        <w:widowControl w:val="1"/>
      </w:pPr>
      <w:r>
        <w:t>IGM_ASVS – basado en M9–M12.</w:t>
      </w:r>
    </w:p>
    <w:p>
      <w:pPr>
        <w:pStyle w:val="ListBullet"/>
        <w:keepLines w:val="1"/>
        <w:widowControl w:val="1"/>
      </w:pPr>
      <w:r>
        <w:t>IGM_Gob_Cultura – basado en M2 (vista gobernanza), M4, M5–M8, M13–M15 (según diseño).</w:t>
      </w:r>
    </w:p>
    <w:p>
      <w:r>
        <w:t>Ejemplo de columnas:</w:t>
      </w:r>
    </w:p>
    <w:p>
      <w:r>
        <w:t>| ID_Entidad | IGM_Exposicion | IGM_SAMM | IGM_ASVS | IGM_Gob_Cultura | IGM_Global |</w:t>
      </w:r>
    </w:p>
    <w:p>
      <w:pPr>
        <w:pStyle w:val="Heading3"/>
        <w:keepNext/>
        <w:keepLines/>
      </w:pPr>
      <w:r>
        <w:t>6.2. Fórmulas de cálculo</w:t>
      </w:r>
    </w:p>
    <w:p>
      <w:r>
        <w:t xml:space="preserve">Supongamos que, para una entidad en fila 2 de </w:t>
      </w:r>
      <w:r>
        <w:rPr>
          <w:rFonts w:ascii="Courier New" w:hAnsi="Courier New"/>
          <w:sz w:val="18"/>
        </w:rPr>
        <w:t>IGM</w:t>
      </w:r>
      <w:r>
        <w:t xml:space="preserve">, se referencian los valores 0–100 de M1–M15 en </w:t>
      </w:r>
      <w:r>
        <w:rPr>
          <w:rFonts w:ascii="Courier New" w:hAnsi="Courier New"/>
          <w:sz w:val="18"/>
        </w:rPr>
        <w:t>Respuestas</w:t>
      </w:r>
      <w:r>
        <w:t>.</w:t>
      </w:r>
    </w:p>
    <w:p>
      <w:r>
        <w:t xml:space="preserve">Ejemplo para </w:t>
      </w:r>
      <w:r>
        <w:rPr>
          <w:rFonts w:ascii="Courier New" w:hAnsi="Courier New"/>
          <w:sz w:val="18"/>
        </w:rPr>
        <w:t>IGM_Exposicion</w:t>
      </w:r>
      <w:r>
        <w:t xml:space="preserve"> (M1–M4):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=PROMEDIO(Respuestas!D2:Respuestas!G2)</w:t>
        <w:br/>
      </w:r>
    </w:p>
    <w:p>
      <w:r>
        <w:t>Subíndices restantes seguirían la misma lógica, con los rangos correspondientes.</w:t>
      </w:r>
    </w:p>
    <w:p>
      <w:pPr>
        <w:pStyle w:val="Heading3"/>
        <w:keepNext/>
        <w:keepLines/>
      </w:pPr>
      <w:r>
        <w:t>6.3. IGM global</w:t>
      </w:r>
    </w:p>
    <w:p>
      <w:r>
        <w:t xml:space="preserve">En </w:t>
      </w:r>
      <w:r>
        <w:rPr>
          <w:rFonts w:ascii="Courier New" w:hAnsi="Courier New"/>
          <w:sz w:val="18"/>
        </w:rPr>
        <w:t>IGM_Global</w:t>
      </w:r>
      <w:r>
        <w:t xml:space="preserve"> (columna F), dos opciones:</w:t>
      </w:r>
    </w:p>
    <w:p>
      <w:pPr>
        <w:pStyle w:val="ListBullet"/>
        <w:keepLines w:val="1"/>
        <w:widowControl w:val="1"/>
      </w:pPr>
      <w:r>
        <w:t>Media simple: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=PROMEDIO(B2:E2)</w:t>
        <w:br/>
      </w:r>
    </w:p>
    <w:p>
      <w:pPr>
        <w:pStyle w:val="ListBullet"/>
        <w:keepLines w:val="1"/>
        <w:widowControl w:val="1"/>
      </w:pPr>
      <w:r>
        <w:t>Media ponderada (usando pesos definidos en Parametros!B2:E2):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=SUMAPRODUCTO(B2:E2;Parametros!B2:E2)/SUMA(Parametros!B2:E2)</w:t>
        <w:br/>
      </w:r>
    </w:p>
    <w:p>
      <w:pPr>
        <w:pStyle w:val="Heading2"/>
        <w:keepNext/>
        <w:keepLines/>
      </w:pPr>
      <w:r>
        <w:rPr>
          <w:color w:val="0066CC"/>
        </w:rPr>
        <w:t>7. Hoja ROI</w:t>
      </w:r>
    </w:p>
    <w:p>
      <w:pPr>
        <w:pStyle w:val="Heading3"/>
        <w:keepNext/>
        <w:keepLines/>
      </w:pPr>
      <w:r>
        <w:t>7.1. Estructura</w:t>
      </w:r>
    </w:p>
    <w:p>
      <w:r>
        <w:t>| ID_Entidad | IGM_T0 | IGM_T1 | Delta_IGM | Riesgo_T0 | Riesgo_T1 | Riesgo_Evitado | Coste_Seguridad | ROI |</w:t>
      </w:r>
    </w:p>
    <w:p>
      <w:pPr>
        <w:pStyle w:val="ListBullet"/>
        <w:keepLines w:val="1"/>
        <w:keepNext w:val="1"/>
        <w:widowControl w:val="1"/>
      </w:pPr>
      <w:r>
        <w:t>IGM_T0 / IGM_T1: valores del IGM en dos momentos (antes/después o año N/N+1).</w:t>
      </w:r>
    </w:p>
    <w:p>
      <w:pPr>
        <w:pStyle w:val="ListBullet"/>
        <w:keepLines w:val="1"/>
        <w:keepNext w:val="1"/>
        <w:widowControl w:val="1"/>
      </w:pPr>
      <w:r>
        <w:t>Riesgo_T0 / Riesgo_T1: estimación de riesgo económico (por ejemplo, valor esperado de pérdidas por ciberincidentes).</w:t>
      </w:r>
    </w:p>
    <w:p>
      <w:pPr>
        <w:pStyle w:val="ListBullet"/>
        <w:keepLines w:val="1"/>
        <w:widowControl w:val="1"/>
      </w:pPr>
      <w:r>
        <w:t>Coste_Seguridad: costes incurridos en seguridad en el periodo.</w:t>
      </w:r>
    </w:p>
    <w:p>
      <w:pPr>
        <w:pStyle w:val="Heading3"/>
        <w:keepNext/>
        <w:keepLines/>
      </w:pPr>
      <w:r>
        <w:t>7.2. Fórmulas</w:t>
      </w:r>
    </w:p>
    <w:p>
      <w:pPr>
        <w:pStyle w:val="ListBullet"/>
        <w:keepLines w:val="1"/>
        <w:widowControl w:val="1"/>
      </w:pPr>
      <w:r>
        <w:t>Delta_IGM: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=IGM_T1-IGM_T0</w:t>
        <w:br/>
      </w:r>
    </w:p>
    <w:p>
      <w:pPr>
        <w:pStyle w:val="ListBullet"/>
        <w:keepLines w:val="1"/>
        <w:widowControl w:val="1"/>
      </w:pPr>
      <w:r>
        <w:t>Riesgo_Evitado: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=Riesgo_T0-Riesgo_T1</w:t>
        <w:br/>
      </w:r>
    </w:p>
    <w:p>
      <w:pPr>
        <w:pStyle w:val="ListBullet"/>
        <w:keepLines w:val="1"/>
        <w:widowControl w:val="1"/>
      </w:pPr>
      <w:r>
        <w:t>ROI: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=SI(Coste_Seguridad&gt;0;(Riesgo_Evitado-Coste_Seguridad)/Coste_Seguridad;"")</w:t>
        <w:br/>
      </w:r>
    </w:p>
    <w:p>
      <w:r>
        <w:t xml:space="preserve">Nota: el modelo para estimar </w:t>
      </w:r>
      <w:r>
        <w:rPr>
          <w:rFonts w:ascii="Courier New" w:hAnsi="Courier New"/>
          <w:sz w:val="18"/>
        </w:rPr>
        <w:t>Riesgo_T0/T1</w:t>
      </w:r>
      <w:r>
        <w:t xml:space="preserve"> depende de cada organización (por ejemplo, número esperado de incidentes × impacto medio). La plantilla solo proporciona la estructura.</w:t>
      </w:r>
    </w:p>
    <w:p>
      <w:pPr>
        <w:pStyle w:val="Heading2"/>
        <w:keepNext/>
        <w:keepLines/>
      </w:pPr>
      <w:r>
        <w:rPr>
          <w:color w:val="0066CC"/>
        </w:rPr>
        <w:t>8. Hoja Parametros</w:t>
      </w:r>
    </w:p>
    <w:p>
      <w:pPr>
        <w:pStyle w:val="Heading3"/>
        <w:keepNext/>
        <w:keepLines/>
      </w:pPr>
      <w:r>
        <w:t>8.1. Ponderaciones de subíndices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Subindice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IGM_Exposicion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0,25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IGM_SAMM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0,25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IGM_ASVS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0,25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IGM_Gob_Cultura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0,25</w:t>
            </w:r>
          </w:p>
        </w:tc>
      </w:tr>
    </w:tbl>
    <w:p/>
    <w:p>
      <w:pPr>
        <w:pStyle w:val="Heading3"/>
        <w:keepNext/>
        <w:keepLines/>
      </w:pPr>
      <w:r>
        <w:t>8.2. Umbrales de interpretación del IGM</w:t>
      </w:r>
    </w:p>
    <w:p>
      <w:pPr>
        <w:pStyle w:val="ListBullet"/>
        <w:keepLines w:val="1"/>
        <w:keepNext w:val="1"/>
        <w:widowControl w:val="1"/>
      </w:pPr>
      <w:r>
        <w:t xml:space="preserve">0–24 → Crítico.  </w:t>
      </w:r>
    </w:p>
    <w:p>
      <w:pPr>
        <w:pStyle w:val="ListBullet"/>
        <w:keepLines w:val="1"/>
        <w:keepNext w:val="1"/>
        <w:widowControl w:val="1"/>
      </w:pPr>
      <w:r>
        <w:t xml:space="preserve">25–49 → Bajo.  </w:t>
      </w:r>
    </w:p>
    <w:p>
      <w:pPr>
        <w:pStyle w:val="ListBullet"/>
        <w:keepLines w:val="1"/>
        <w:keepNext w:val="1"/>
        <w:widowControl w:val="1"/>
      </w:pPr>
      <w:r>
        <w:t xml:space="preserve">50–74 → Medio.  </w:t>
      </w:r>
    </w:p>
    <w:p>
      <w:pPr>
        <w:pStyle w:val="ListBullet"/>
        <w:keepLines w:val="1"/>
        <w:widowControl w:val="1"/>
      </w:pPr>
      <w:r>
        <w:t>75–100 → Alto.</w:t>
      </w:r>
    </w:p>
    <w:p>
      <w:pPr>
        <w:pStyle w:val="Heading3"/>
        <w:keepNext/>
        <w:keepLines/>
      </w:pPr>
      <w:r>
        <w:t>8.3. Umbral de calidad PRAGMATIC</w:t>
      </w:r>
    </w:p>
    <w:p>
      <w:pPr>
        <w:pStyle w:val="ListBullet"/>
        <w:keepLines w:val="1"/>
        <w:widowControl w:val="1"/>
      </w:pPr>
      <w:r>
        <w:t>PRAGMATIC_min_core = 3,5 (por ejemplo).</w:t>
        <w:br/>
        <w:t xml:space="preserve">  Métricas con nota global inferior pueden considerarse candidatas a “segunda línea” o revisarse.</w:t>
      </w:r>
    </w:p>
    <w:p>
      <w:pPr>
        <w:pStyle w:val="Heading2"/>
        <w:keepNext/>
        <w:keepLines/>
      </w:pPr>
      <w:r>
        <w:rPr>
          <w:color w:val="0066CC"/>
        </w:rPr>
        <w:t>9. Visualizaciones sugeridas</w:t>
      </w:r>
    </w:p>
    <w:p>
      <w:pPr>
        <w:pStyle w:val="ListBullet"/>
        <w:keepLines w:val="1"/>
        <w:keepNext w:val="1"/>
        <w:widowControl w:val="1"/>
      </w:pPr>
      <w:r>
        <w:t>Gráficos de barras y radar para subíndices IGM por entidad/sector.</w:t>
      </w:r>
    </w:p>
    <w:p>
      <w:pPr>
        <w:pStyle w:val="ListBullet"/>
        <w:keepLines w:val="1"/>
        <w:keepNext w:val="1"/>
        <w:widowControl w:val="1"/>
      </w:pPr>
      <w:r>
        <w:t>Mapas de calor para puntuaciones PRAGMATIC por métrica.</w:t>
      </w:r>
    </w:p>
    <w:p>
      <w:pPr>
        <w:pStyle w:val="ListBullet"/>
        <w:keepLines w:val="1"/>
        <w:widowControl w:val="1"/>
      </w:pPr>
      <w:r>
        <w:t>Líneas de tendencia de IGM y riesgo estimado por entidad.</w:t>
      </w:r>
    </w:p>
    <w:p>
      <w:r>
        <w:t>Esta plantilla ofrece un esqueleto suficientemente detallado para que un equipo de riesgos o analítica pueda convertir los resultados de la encuesta en un sistema vivo de métricas OWASP–NIS2 sensato, trazable y algo menos propenso a la poesía numérica sin fundamento.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