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– Descripción técnica</w:t>
      </w:r>
    </w:p>
    <w:p>
      <w:r>
        <w:t>Este documento describe cómo implementar en Excel (o equivalente) una hoja de cálculo para calcular el Índice Global de Madurez (IGM) y una estimación de ROI de seguridad a partir de las respuestas de la encuesta OWASP 2025 – España.</w:t>
      </w:r>
    </w:p>
    <w:p>
      <w:pPr>
        <w:pStyle w:val="Heading2"/>
        <w:keepNext/>
        <w:keepLines/>
      </w:pPr>
      <w:r>
        <w:rPr>
          <w:color w:val="0066CC"/>
        </w:rPr>
        <w:t>1. Estructura general del libro de Excel</w:t>
      </w:r>
    </w:p>
    <w:p>
      <w:r>
        <w:t>Se recomienda un libro con, al menos, las siguientes hojas:</w:t>
      </w:r>
    </w:p>
    <w:p>
      <w:pPr>
        <w:pStyle w:val="ListNumber"/>
        <w:keepLines w:val="1"/>
        <w:keepNext w:val="1"/>
        <w:widowControl w:val="1"/>
      </w:pPr>
      <w:r>
        <w:t>Datos_brutos – Respuestas codificadas de la encuesta.</w:t>
      </w:r>
    </w:p>
    <w:p>
      <w:pPr>
        <w:pStyle w:val="ListNumber"/>
        <w:keepLines w:val="1"/>
        <w:keepNext w:val="1"/>
        <w:widowControl w:val="1"/>
      </w:pPr>
      <w:r>
        <w:t>Codificacion – Tablas con la codificación de opciones de respuesta a valores numéricos (0–100, etc.).</w:t>
      </w:r>
    </w:p>
    <w:p>
      <w:pPr>
        <w:pStyle w:val="ListNumber"/>
        <w:keepLines w:val="1"/>
        <w:keepNext w:val="1"/>
        <w:widowControl w:val="1"/>
      </w:pPr>
      <w:r>
        <w:t>IGM_Organizacion – Cálculo del IGM y subíndices por organización.</w:t>
      </w:r>
    </w:p>
    <w:p>
      <w:pPr>
        <w:pStyle w:val="ListNumber"/>
        <w:keepLines w:val="1"/>
        <w:keepNext w:val="1"/>
        <w:widowControl w:val="1"/>
      </w:pPr>
      <w:r>
        <w:t>ROI – Cálculo del ROI de seguridad.</w:t>
      </w:r>
    </w:p>
    <w:p>
      <w:pPr>
        <w:pStyle w:val="ListNumber"/>
        <w:keepLines w:val="1"/>
        <w:widowControl w:val="1"/>
      </w:pPr>
      <w:r>
        <w:t>Parametros – Parámetros globales (ponderaciones, umbrales, costes, etc.).</w:t>
      </w:r>
    </w:p>
    <w:p>
      <w:pPr>
        <w:pStyle w:val="Heading2"/>
        <w:keepNext/>
        <w:keepLines/>
      </w:pPr>
      <w:r>
        <w:rPr>
          <w:color w:val="0066CC"/>
        </w:rPr>
        <w:t>2. Hoja Datos_brutos</w:t>
      </w:r>
    </w:p>
    <w:p>
      <w:pPr>
        <w:pStyle w:val="Heading3"/>
        <w:keepNext/>
        <w:keepLines/>
      </w:pPr>
      <w:r>
        <w:t>2.1. Columnas mínimas</w:t>
      </w:r>
    </w:p>
    <w:p>
      <w:pPr>
        <w:pStyle w:val="ListBullet"/>
        <w:keepLines w:val="1"/>
        <w:keepNext w:val="1"/>
        <w:widowControl w:val="1"/>
      </w:pPr>
      <w:r>
        <w:t>Columna A: ID_Organizacion (identificador anonimizado).</w:t>
      </w:r>
    </w:p>
    <w:p>
      <w:pPr>
        <w:pStyle w:val="ListBullet"/>
        <w:keepLines w:val="1"/>
        <w:keepNext w:val="1"/>
        <w:widowControl w:val="1"/>
      </w:pPr>
      <w:r>
        <w:t>Columna B: Sector (texto o código).</w:t>
      </w:r>
    </w:p>
    <w:p>
      <w:pPr>
        <w:pStyle w:val="ListBullet"/>
        <w:keepLines w:val="1"/>
        <w:keepNext w:val="1"/>
        <w:widowControl w:val="1"/>
      </w:pPr>
      <w:r>
        <w:t>Columna C: Tamano (categoría de tamaño).</w:t>
      </w:r>
    </w:p>
    <w:p>
      <w:pPr>
        <w:pStyle w:val="ListBullet"/>
        <w:keepLines w:val="1"/>
        <w:widowControl w:val="1"/>
      </w:pPr>
      <w:r>
        <w:t>Columnas posteriores: una columna por pregunta de la encuesta, con el valor de la opción elegida.</w:t>
      </w:r>
    </w:p>
    <w:p>
      <w:r>
        <w:t>Ejemplo de cabeceras a partir de la columna D:</w:t>
      </w:r>
    </w:p>
    <w:p>
      <w:pPr>
        <w:pStyle w:val="ListBullet"/>
        <w:keepLines w:val="1"/>
        <w:widowControl w:val="1"/>
      </w:pPr>
      <w:r>
        <w:t>P2_1, P2_2, …, P3_1, P3_2, …, P9_3.</w:t>
      </w:r>
    </w:p>
    <w:p>
      <w:pPr>
        <w:pStyle w:val="Heading3"/>
        <w:keepNext/>
        <w:keepLines/>
      </w:pPr>
      <w:r>
        <w:t>2.2. Formato de valores</w:t>
      </w:r>
    </w:p>
    <w:p>
      <w:pPr>
        <w:pStyle w:val="ListBullet"/>
        <w:keepLines w:val="1"/>
        <w:keepNext w:val="1"/>
        <w:widowControl w:val="1"/>
      </w:pPr>
      <w:r>
        <w:t>Se recomienda almacenar el código numérico asociado a cada respuesta (por ejemplo, 0,1,2,3,4) según la tabla de la hoja Codificacion.</w:t>
      </w:r>
    </w:p>
    <w:p>
      <w:pPr>
        <w:pStyle w:val="ListBullet"/>
        <w:keepLines w:val="1"/>
        <w:widowControl w:val="1"/>
      </w:pPr>
      <w:r>
        <w:t>Para preguntas de respuesta múltiple, se pueden usar varias columnas (por ejemplo, P6_2_A, P6_2_B, etc.) con valores binarios (0/1).</w:t>
      </w:r>
    </w:p>
    <w:p>
      <w:pPr>
        <w:pStyle w:val="Heading2"/>
        <w:keepNext/>
        <w:keepLines/>
      </w:pPr>
      <w:r>
        <w:rPr>
          <w:color w:val="0066CC"/>
        </w:rPr>
        <w:t>3. Hoja Codificacion</w:t>
      </w:r>
    </w:p>
    <w:p>
      <w:r>
        <w:t>Esta hoja define cómo se traduce cada opción en un valor numérico y, en su caso, en un valor normalizado 0–100.</w:t>
      </w:r>
    </w:p>
    <w:p>
      <w:pPr>
        <w:pStyle w:val="Heading3"/>
        <w:keepNext/>
        <w:keepLines/>
      </w:pPr>
      <w:r>
        <w:t>3.1. Ejemplo de tabla de codificación para preguntas de porcentaje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Opcion_texto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Valor_0_100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0–7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8–30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31–90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P3_5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&gt;90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P3_5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 se mide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</w:t>
            </w:r>
          </w:p>
        </w:tc>
      </w:tr>
    </w:tbl>
    <w:p/>
    <w:p>
      <w:pPr>
        <w:pStyle w:val="Heading3"/>
        <w:keepNext/>
        <w:keepLines/>
      </w:pPr>
      <w:r>
        <w:t>3.2. Ejemplo de codificación para niveles ASVS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Opcion_texto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Valor_0_100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P5_3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76–100 % apps críticas Nivel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P5_3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51–75 %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P5_3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26–50 %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P5_3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0–25 %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P5_3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 se sabe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</w:t>
            </w:r>
          </w:p>
        </w:tc>
      </w:tr>
    </w:tbl>
    <w:p/>
    <w:p>
      <w:pPr>
        <w:pStyle w:val="Heading3"/>
        <w:keepNext/>
        <w:keepLines/>
      </w:pPr>
      <w:r>
        <w:t>3.3. Uso de funciones</w:t>
      </w:r>
    </w:p>
    <w:p>
      <w:r>
        <w:t xml:space="preserve">Se pueden utilizar funciones como </w:t>
      </w:r>
      <w:r>
        <w:rPr>
          <w:rFonts w:ascii="Courier New" w:hAnsi="Courier New"/>
          <w:sz w:val="18"/>
        </w:rPr>
        <w:t>BUSCARV</w:t>
      </w:r>
      <w:r>
        <w:t xml:space="preserve"> (</w:t>
      </w:r>
      <w:r>
        <w:rPr>
          <w:rFonts w:ascii="Courier New" w:hAnsi="Courier New"/>
          <w:sz w:val="18"/>
        </w:rPr>
        <w:t>VLOOKUP</w:t>
      </w:r>
      <w:r>
        <w:t xml:space="preserve">) o </w:t>
      </w:r>
      <w:r>
        <w:rPr>
          <w:rFonts w:ascii="Courier New" w:hAnsi="Courier New"/>
          <w:sz w:val="18"/>
        </w:rPr>
        <w:t>INDICE</w:t>
      </w:r>
      <w:r>
        <w:t>/</w:t>
      </w:r>
      <w:r>
        <w:rPr>
          <w:rFonts w:ascii="Courier New" w:hAnsi="Courier New"/>
          <w:sz w:val="18"/>
        </w:rPr>
        <w:t>COINCIDIR</w:t>
      </w:r>
      <w:r>
        <w:t xml:space="preserve"> para obtener el </w:t>
      </w:r>
      <w:r>
        <w:rPr>
          <w:rFonts w:ascii="Courier New" w:hAnsi="Courier New"/>
          <w:sz w:val="18"/>
        </w:rPr>
        <w:t>Valor_0_100</w:t>
      </w:r>
      <w:r>
        <w:t xml:space="preserve"> correspondiente a cada respuesta.</w:t>
      </w:r>
    </w:p>
    <w:p>
      <w:pPr>
        <w:pStyle w:val="Heading2"/>
        <w:keepNext/>
        <w:keepLines/>
      </w:pPr>
      <w:r>
        <w:rPr>
          <w:color w:val="0066CC"/>
        </w:rPr>
        <w:t>4. Hoja IGM_Organizacion</w:t>
      </w:r>
    </w:p>
    <w:p>
      <w:pPr>
        <w:pStyle w:val="Heading3"/>
        <w:keepNext/>
        <w:keepLines/>
      </w:pPr>
      <w:r>
        <w:t>4.1. Columnas base</w:t>
      </w:r>
    </w:p>
    <w:p>
      <w:pPr>
        <w:pStyle w:val="ListBullet"/>
        <w:keepLines w:val="1"/>
        <w:keepNext w:val="1"/>
        <w:widowControl w:val="1"/>
      </w:pPr>
      <w:r>
        <w:t>Columna A: ID_Organizacion.</w:t>
      </w:r>
    </w:p>
    <w:p>
      <w:pPr>
        <w:pStyle w:val="ListBullet"/>
        <w:keepLines w:val="1"/>
        <w:keepNext w:val="1"/>
        <w:widowControl w:val="1"/>
      </w:pPr>
      <w:r>
        <w:t>Columnas B–E: subíndices 0–100:</w:t>
      </w:r>
    </w:p>
    <w:p>
      <w:pPr>
        <w:pStyle w:val="ListBullet"/>
        <w:keepLines w:val="1"/>
        <w:keepNext w:val="1"/>
        <w:widowControl w:val="1"/>
      </w:pPr>
      <w:r>
        <w:t>IGM_Exposicion_OWASP.</w:t>
      </w:r>
    </w:p>
    <w:p>
      <w:pPr>
        <w:pStyle w:val="ListBullet"/>
        <w:keepLines w:val="1"/>
        <w:keepNext w:val="1"/>
        <w:widowControl w:val="1"/>
      </w:pPr>
      <w:r>
        <w:t>IGM_SAMM.</w:t>
      </w:r>
    </w:p>
    <w:p>
      <w:pPr>
        <w:pStyle w:val="ListBullet"/>
        <w:keepLines w:val="1"/>
        <w:keepNext w:val="1"/>
        <w:widowControl w:val="1"/>
      </w:pPr>
      <w:r>
        <w:t>IGM_ASVS.</w:t>
      </w:r>
    </w:p>
    <w:p>
      <w:pPr>
        <w:pStyle w:val="ListBullet"/>
        <w:keepLines w:val="1"/>
        <w:keepNext w:val="1"/>
        <w:widowControl w:val="1"/>
      </w:pPr>
      <w:r>
        <w:t>IGM_Gobernanza_Cultura.</w:t>
      </w:r>
    </w:p>
    <w:p>
      <w:pPr>
        <w:pStyle w:val="ListBullet"/>
        <w:keepLines w:val="1"/>
        <w:widowControl w:val="1"/>
      </w:pPr>
      <w:r>
        <w:t>Columna F: IGM_Global (0–100).</w:t>
      </w:r>
    </w:p>
    <w:p>
      <w:pPr>
        <w:pStyle w:val="Heading3"/>
        <w:keepNext/>
        <w:keepLines/>
      </w:pPr>
      <w:r>
        <w:t>4.2. Cálculo de subíndices</w:t>
      </w:r>
    </w:p>
    <w:p>
      <w:r>
        <w:t>Para cada subíndice, se definen las preguntas relevantes y se calcula la media de sus valores normalizados.</w:t>
      </w:r>
    </w:p>
    <w:p>
      <w:r>
        <w:t xml:space="preserve">Ejemplo para </w:t>
      </w:r>
      <w:r>
        <w:rPr>
          <w:rFonts w:ascii="Courier New" w:hAnsi="Courier New"/>
          <w:sz w:val="18"/>
        </w:rPr>
        <w:t>IGM_Exposicion_OWASP</w:t>
      </w:r>
      <w:r>
        <w:t xml:space="preserve"> (bloque 3):</w:t>
      </w:r>
    </w:p>
    <w:p>
      <w:pPr>
        <w:pStyle w:val="ListNumber"/>
        <w:keepLines w:val="1"/>
        <w:keepNext w:val="1"/>
        <w:widowControl w:val="1"/>
      </w:pPr>
      <w:r>
        <w:t>En Parametros, definir un rango con las preguntas que alimentan este subíndice, por ejemplo P3_2, P3_3, P3_4, P3_5, P3_6.</w:t>
      </w:r>
    </w:p>
    <w:p>
      <w:pPr>
        <w:pStyle w:val="ListNumber"/>
        <w:keepLines w:val="1"/>
        <w:keepNext w:val="1"/>
        <w:widowControl w:val="1"/>
      </w:pPr>
      <w:r>
        <w:t>En IGM_Organizacion, para una fila dada (organización):</w:t>
      </w:r>
    </w:p>
    <w:p>
      <w:pPr>
        <w:pStyle w:val="ListNumber"/>
        <w:keepLines w:val="1"/>
        <w:keepNext w:val="1"/>
        <w:widowControl w:val="1"/>
      </w:pPr>
      <w:r>
        <w:t>Recuperar de Datos_brutos los códigos de respuesta.</w:t>
      </w:r>
    </w:p>
    <w:p>
      <w:pPr>
        <w:pStyle w:val="ListNumber"/>
        <w:keepLines w:val="1"/>
        <w:keepNext w:val="1"/>
        <w:widowControl w:val="1"/>
      </w:pPr>
      <w:r>
        <w:t>Traducir a valores 0–100 mediante BUSCARV en Codificacion.</w:t>
      </w:r>
    </w:p>
    <w:p>
      <w:pPr>
        <w:pStyle w:val="ListNumber"/>
        <w:keepLines w:val="1"/>
        <w:widowControl w:val="1"/>
      </w:pPr>
      <w:r>
        <w:t>Calcular la media de esos valores.</w:t>
      </w:r>
    </w:p>
    <w:p>
      <w:r>
        <w:t>Ejemplo de fórmula (simplificada) para una organización en fila 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BUSCARV(Datos_brutos!D2;Codificacion!$A$2:$D$100;4;FALSO);</w:t>
        <w:br/>
        <w:t xml:space="preserve">  BUSCARV(Datos_brutos!E2;Codificacion!$A$2:$D$100;4;FALSO);</w:t>
        <w:br/>
        <w:t xml:space="preserve">  …</w:t>
        <w:br/>
        <w:t>)</w:t>
        <w:br/>
      </w:r>
    </w:p>
    <w:p>
      <w:r>
        <w:t>El mismo enfoque se repite para los otros subíndices, cambiando las preguntas incluidas.</w:t>
      </w:r>
    </w:p>
    <w:p>
      <w:pPr>
        <w:pStyle w:val="Heading3"/>
        <w:keepNext/>
        <w:keepLines/>
      </w:pPr>
      <w:r>
        <w:t>4.3. Cálculo del IGM global</w:t>
      </w:r>
    </w:p>
    <w:p>
      <w:r>
        <w:t xml:space="preserve">En la columna </w:t>
      </w:r>
      <w:r>
        <w:rPr>
          <w:rFonts w:ascii="Courier New" w:hAnsi="Courier New"/>
          <w:sz w:val="18"/>
        </w:rPr>
        <w:t>IGM_Global</w:t>
      </w:r>
      <w:r>
        <w:t>, para la fila 2:</w:t>
      </w:r>
    </w:p>
    <w:p>
      <w:pPr>
        <w:pStyle w:val="ListBullet"/>
        <w:keepLines w:val="1"/>
        <w:widowControl w:val="1"/>
      </w:pPr>
      <w:r>
        <w:t>Si se desea una media simple: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=PROMEDIO(B2:E2)</w:t>
        <w:br/>
      </w:r>
    </w:p>
    <w:p>
      <w:pPr>
        <w:pStyle w:val="ListBullet"/>
        <w:keepLines w:val="1"/>
        <w:widowControl w:val="1"/>
      </w:pPr>
      <w:r>
        <w:t>Si se desea una media ponderada (con pesos definidos en Parametros, por ejemplo en celdas Parametros!B2:E2):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=SUMAPRODUCTO(B2:E2;Parametros!B2:E2)/SUMA(Parametros!B2:E2)</w:t>
        <w:br/>
      </w:r>
    </w:p>
    <w:p>
      <w:pPr>
        <w:pStyle w:val="Heading2"/>
        <w:keepNext/>
        <w:keepLines/>
      </w:pPr>
      <w:r>
        <w:rPr>
          <w:color w:val="0066CC"/>
        </w:rPr>
        <w:t>5. Hoja ROI</w:t>
      </w:r>
    </w:p>
    <w:p>
      <w:pPr>
        <w:pStyle w:val="Heading3"/>
        <w:keepNext/>
        <w:keepLines/>
      </w:pPr>
      <w:r>
        <w:t>5.1. Columnas sugeridas</w:t>
      </w:r>
    </w:p>
    <w:p>
      <w:pPr>
        <w:pStyle w:val="ListBullet"/>
        <w:keepLines w:val="1"/>
        <w:keepNext w:val="1"/>
        <w:widowControl w:val="1"/>
      </w:pPr>
      <w:r>
        <w:t>Columna A: ID_Organizacion.</w:t>
      </w:r>
    </w:p>
    <w:p>
      <w:pPr>
        <w:pStyle w:val="ListBullet"/>
        <w:keepLines w:val="1"/>
        <w:keepNext w:val="1"/>
        <w:widowControl w:val="1"/>
      </w:pPr>
      <w:r>
        <w:t>Columna B: IGM_Global_Antes (si se dispone de mediciones históricas).</w:t>
      </w:r>
    </w:p>
    <w:p>
      <w:pPr>
        <w:pStyle w:val="ListBullet"/>
        <w:keepLines w:val="1"/>
        <w:keepNext w:val="1"/>
        <w:widowControl w:val="1"/>
      </w:pPr>
      <w:r>
        <w:t>Columna C: IGM_Global_Despues.</w:t>
      </w:r>
    </w:p>
    <w:p>
      <w:pPr>
        <w:pStyle w:val="ListBullet"/>
        <w:keepLines w:val="1"/>
        <w:keepNext w:val="1"/>
        <w:widowControl w:val="1"/>
      </w:pPr>
      <w:r>
        <w:t>Columna D: Delta_IGM (C – B).</w:t>
      </w:r>
    </w:p>
    <w:p>
      <w:pPr>
        <w:pStyle w:val="ListBullet"/>
        <w:keepLines w:val="1"/>
        <w:keepNext w:val="1"/>
        <w:widowControl w:val="1"/>
      </w:pPr>
      <w:r>
        <w:t>Columna E: Coste_Seguridad (inversiones y costes operativos en el periodo).</w:t>
      </w:r>
    </w:p>
    <w:p>
      <w:pPr>
        <w:pStyle w:val="ListBullet"/>
        <w:keepLines w:val="1"/>
        <w:keepNext w:val="1"/>
        <w:widowControl w:val="1"/>
      </w:pPr>
      <w:r>
        <w:t>Columna F: Riesgo_Estimado_Antes (en euros, basado en modelo propio de la organización).</w:t>
      </w:r>
    </w:p>
    <w:p>
      <w:pPr>
        <w:pStyle w:val="ListBullet"/>
        <w:keepLines w:val="1"/>
        <w:keepNext w:val="1"/>
        <w:widowControl w:val="1"/>
      </w:pPr>
      <w:r>
        <w:t>Columna G: Riesgo_Estimado_Despues.</w:t>
      </w:r>
    </w:p>
    <w:p>
      <w:pPr>
        <w:pStyle w:val="ListBullet"/>
        <w:keepLines w:val="1"/>
        <w:keepNext w:val="1"/>
        <w:widowControl w:val="1"/>
      </w:pPr>
      <w:r>
        <w:t>Columna H: Riesgo_Evitado (F – G).</w:t>
      </w:r>
    </w:p>
    <w:p>
      <w:pPr>
        <w:pStyle w:val="ListBullet"/>
        <w:keepLines w:val="1"/>
        <w:widowControl w:val="1"/>
      </w:pPr>
      <w:r>
        <w:t>Columna I: ROI_Seguridad.</w:t>
      </w:r>
    </w:p>
    <w:p>
      <w:pPr>
        <w:pStyle w:val="Heading3"/>
        <w:keepNext/>
        <w:keepLines/>
      </w:pPr>
      <w:r>
        <w:t>5.2. Fórmulas clave</w:t>
      </w:r>
    </w:p>
    <w:p>
      <w:pPr>
        <w:pStyle w:val="ListBullet"/>
        <w:keepLines w:val="1"/>
        <w:widowControl w:val="1"/>
      </w:pPr>
      <w:r>
        <w:t>Delta_IGM (celda D2):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=C2-B2</w:t>
        <w:br/>
      </w:r>
    </w:p>
    <w:p>
      <w:pPr>
        <w:pStyle w:val="ListBullet"/>
        <w:keepLines w:val="1"/>
        <w:widowControl w:val="1"/>
      </w:pPr>
      <w:r>
        <w:t>Riesgo_Evitado (celda H2):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=F2-G2</w:t>
        <w:br/>
      </w:r>
    </w:p>
    <w:p>
      <w:pPr>
        <w:pStyle w:val="ListBullet"/>
        <w:keepLines w:val="1"/>
        <w:widowControl w:val="1"/>
      </w:pPr>
      <w:r>
        <w:t>ROI_Seguridad (celda I2):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=SI(E2&gt;0;(H2-E2)/E2;"")</w:t>
        <w:br/>
      </w:r>
    </w:p>
    <w:p>
      <w:r>
        <w:t xml:space="preserve">Nota: el cálculo de </w:t>
      </w:r>
      <w:r>
        <w:rPr>
          <w:rFonts w:ascii="Courier New" w:hAnsi="Courier New"/>
          <w:sz w:val="18"/>
        </w:rPr>
        <w:t>Riesgo_Estimado_Antes</w:t>
      </w:r>
      <w:r>
        <w:t xml:space="preserve"> y </w:t>
      </w:r>
      <w:r>
        <w:rPr>
          <w:rFonts w:ascii="Courier New" w:hAnsi="Courier New"/>
          <w:sz w:val="18"/>
        </w:rPr>
        <w:t>Riesgo_Estimado_Despues</w:t>
      </w:r>
      <w:r>
        <w:t xml:space="preserve"> depende del modelo de la organización (por ejemplo, probabilidad estimada de incidentes x impacto medio). La plantilla deja estos campos para que cada entidad introduzca sus valores.</w:t>
      </w:r>
    </w:p>
    <w:p>
      <w:pPr>
        <w:pStyle w:val="Heading2"/>
        <w:keepNext/>
        <w:keepLines/>
      </w:pPr>
      <w:r>
        <w:rPr>
          <w:color w:val="0066CC"/>
        </w:rPr>
        <w:t>6. Hoja Parametros</w:t>
      </w:r>
    </w:p>
    <w:p>
      <w:pPr>
        <w:pStyle w:val="Heading3"/>
        <w:keepNext/>
        <w:keepLines/>
      </w:pPr>
      <w:r>
        <w:t>6.1. Ponderaciones de subíndices</w:t>
      </w:r>
    </w:p>
    <w:p>
      <w:r>
        <w:t>Ejemplo de tabla: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Subindice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IGM_Exposicion_OWASP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IGM_SAMM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IGM_ASVS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IGM_Gobernanza_Cultura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0,25</w:t>
            </w:r>
          </w:p>
        </w:tc>
      </w:tr>
    </w:tbl>
    <w:p/>
    <w:p>
      <w:r>
        <w:t>Estos valores pueden ajustarse según sector o prioridades.</w:t>
      </w:r>
    </w:p>
    <w:p>
      <w:pPr>
        <w:pStyle w:val="Heading3"/>
        <w:keepNext/>
        <w:keepLines/>
      </w:pPr>
      <w:r>
        <w:t>6.2. Umbrales de interpretación del IGM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>0–24 → "Crítico".</w:t>
      </w:r>
    </w:p>
    <w:p>
      <w:pPr>
        <w:pStyle w:val="ListBullet"/>
        <w:keepLines w:val="1"/>
        <w:keepNext w:val="1"/>
        <w:widowControl w:val="1"/>
      </w:pPr>
      <w:r>
        <w:t>25–49 → "Bajo".</w:t>
      </w:r>
    </w:p>
    <w:p>
      <w:pPr>
        <w:pStyle w:val="ListBullet"/>
        <w:keepLines w:val="1"/>
        <w:keepNext w:val="1"/>
        <w:widowControl w:val="1"/>
      </w:pPr>
      <w:r>
        <w:t>50–74 → "Medio".</w:t>
      </w:r>
    </w:p>
    <w:p>
      <w:pPr>
        <w:pStyle w:val="ListBullet"/>
        <w:keepLines w:val="1"/>
        <w:widowControl w:val="1"/>
      </w:pPr>
      <w:r>
        <w:t>75–100 → "Alto".</w:t>
      </w:r>
    </w:p>
    <w:p>
      <w:r>
        <w:t>Estos umbrales pueden utilizarse en gráficos de semáforo o dashboards.</w:t>
      </w:r>
    </w:p>
    <w:p>
      <w:pPr>
        <w:pStyle w:val="Heading2"/>
        <w:keepNext/>
        <w:keepLines/>
      </w:pPr>
      <w:r>
        <w:rPr>
          <w:color w:val="0066CC"/>
        </w:rPr>
        <w:t>7. Visualizaciones recomendadas</w:t>
      </w:r>
    </w:p>
    <w:p>
      <w:r>
        <w:t>Aunque no forman parte estricta de la plantilla, se recomiendan los siguientes gráficos en Excel o herramientas de BI:</w:t>
      </w:r>
    </w:p>
    <w:p>
      <w:pPr>
        <w:pStyle w:val="ListBullet"/>
        <w:keepLines w:val="1"/>
        <w:keepNext w:val="1"/>
        <w:widowControl w:val="1"/>
      </w:pPr>
      <w:r>
        <w:t>Barras apiladas de distribución de IGM por sector.</w:t>
      </w:r>
    </w:p>
    <w:p>
      <w:pPr>
        <w:pStyle w:val="ListBullet"/>
        <w:keepLines w:val="1"/>
        <w:keepNext w:val="1"/>
        <w:widowControl w:val="1"/>
      </w:pPr>
      <w:r>
        <w:t>Boxplots de subíndices para comparar sectores.</w:t>
      </w:r>
    </w:p>
    <w:p>
      <w:pPr>
        <w:pStyle w:val="ListBullet"/>
        <w:keepLines w:val="1"/>
        <w:keepNext w:val="1"/>
        <w:widowControl w:val="1"/>
      </w:pPr>
      <w:r>
        <w:t>Líneas de tendencia del IGM para organizaciones con series temporales (varios años).</w:t>
      </w:r>
    </w:p>
    <w:p>
      <w:pPr>
        <w:pStyle w:val="ListBullet"/>
        <w:keepLines w:val="1"/>
        <w:widowControl w:val="1"/>
      </w:pPr>
      <w:r>
        <w:t>Diagramas de dispersión IGM vs coste de seguridad, o IGM vs incidentes.</w:t>
      </w:r>
    </w:p>
    <w:p>
      <w:pPr>
        <w:pStyle w:val="Heading2"/>
        <w:keepNext/>
        <w:keepLines/>
      </w:pPr>
      <w:r>
        <w:rPr>
          <w:color w:val="0066CC"/>
        </w:rPr>
        <w:t>8. Buenas prácticas de implementación</w:t>
      </w:r>
    </w:p>
    <w:p>
      <w:pPr>
        <w:pStyle w:val="ListBullet"/>
        <w:keepLines w:val="1"/>
        <w:keepNext w:val="1"/>
        <w:widowControl w:val="1"/>
      </w:pPr>
      <w:r>
        <w:t>Proteger las hojas con fórmulas para evitar cambios accidentales.</w:t>
      </w:r>
    </w:p>
    <w:p>
      <w:pPr>
        <w:pStyle w:val="ListBullet"/>
        <w:keepLines w:val="1"/>
        <w:keepNext w:val="1"/>
        <w:widowControl w:val="1"/>
      </w:pPr>
      <w:r>
        <w:t>Separar claramente datos de entrada (respuestas de la encuesta) y resultados (IGM, ROI).</w:t>
      </w:r>
    </w:p>
    <w:p>
      <w:pPr>
        <w:pStyle w:val="ListBullet"/>
        <w:keepLines w:val="1"/>
        <w:widowControl w:val="1"/>
      </w:pPr>
      <w:r>
        <w:t>Documentar en comentarios o en una hoja adicional cualquier adaptación sectorial o cambio en ponderaciones.</w:t>
      </w:r>
    </w:p>
    <w:p>
      <w:r>
        <w:t>Esta plantilla pretende ser lo suficientemente concreta como para implementarse sin dolor excesivo, pero lo bastante flexible como para dar cabida a las manías legítimas de cada equipo de riesgos y de cada Excel ninja de la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