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GQM + PRAGMATIC + OWASP 2025</w:t>
      </w:r>
    </w:p>
    <w:p>
      <w:r>
        <w:t>Estructura recomendada de presentación (PowerPoint/Keynote) para explicar a la alta dirección cómo se han diseñado las métricas OWASP, cómo se han evaluado con PRAGMATIC y qué implicaciones tienen para NIS2/ENS.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 sugerido:</w:t>
        <w:br/>
        <w:t>"Métricas OWASP 2025: de la vulnerabilidad al objetivo nacional".</w:t>
      </w:r>
    </w:p>
    <w:p>
      <w:pPr>
        <w:pStyle w:val="ListBullet"/>
        <w:keepLines w:val="1"/>
        <w:keepNext w:val="1"/>
        <w:widowControl w:val="1"/>
      </w:pPr>
      <w:r>
        <w:t>Subtítulo:</w:t>
        <w:br/>
        <w:t xml:space="preserve">  "Marco GQM + PRAGMATIC aplicado a [Nombre de la organización / Sector / España]".</w:t>
      </w:r>
    </w:p>
    <w:p>
      <w:pPr>
        <w:pStyle w:val="ListBullet"/>
        <w:keepLines w:val="1"/>
        <w:keepNext w:val="1"/>
        <w:widowControl w:val="1"/>
      </w:pPr>
      <w:r>
        <w:t>Información adicional:</w:t>
      </w:r>
    </w:p>
    <w:p>
      <w:pPr>
        <w:pStyle w:val="ListBullet"/>
        <w:keepLines w:val="1"/>
        <w:keepNext w:val="1"/>
        <w:widowControl w:val="1"/>
      </w:pPr>
      <w:r>
        <w:t>Nombre y cargo del ponente (CISO, Responsable de Riesgos, etc.).</w:t>
      </w:r>
    </w:p>
    <w:p>
      <w:pPr>
        <w:pStyle w:val="ListBullet"/>
        <w:keepLines w:val="1"/>
        <w:widowControl w:val="1"/>
      </w:pPr>
      <w:r>
        <w:t>Fecha.</w:t>
      </w:r>
    </w:p>
    <w:p>
      <w:pPr>
        <w:pStyle w:val="Heading2"/>
        <w:keepNext/>
        <w:keepLines/>
      </w:pPr>
      <w:r>
        <w:rPr>
          <w:color w:val="0066CC"/>
        </w:rPr>
        <w:t>Diapositiva 2 – Mensaje clave</w:t>
      </w:r>
    </w:p>
    <w:p>
      <w:pPr>
        <w:pStyle w:val="ListBullet"/>
        <w:keepLines w:val="1"/>
        <w:keepNext w:val="1"/>
        <w:widowControl w:val="1"/>
      </w:pPr>
      <w:r>
        <w:t>3–5 bullets con ideas centrales, por ejemplo:</w:t>
      </w:r>
    </w:p>
    <w:p>
      <w:pPr>
        <w:pStyle w:val="ListBullet"/>
        <w:keepLines w:val="1"/>
        <w:keepNext w:val="1"/>
        <w:widowControl w:val="1"/>
      </w:pPr>
      <w:r>
        <w:t>Hemos pasado de contar vulnerabilidades a medir objetivos de ciberresiliencia alineados con NIS2 y ENS.</w:t>
      </w:r>
    </w:p>
    <w:p>
      <w:pPr>
        <w:pStyle w:val="ListBullet"/>
        <w:keepLines w:val="1"/>
        <w:keepNext w:val="1"/>
        <w:widowControl w:val="1"/>
      </w:pPr>
      <w:r>
        <w:t>Usamos OWASP (Top 10:2025, SAMM, ASVS) como base técnica común.[web:2][web:68][web:97][web:100]</w:t>
      </w:r>
    </w:p>
    <w:p>
      <w:pPr>
        <w:pStyle w:val="ListBullet"/>
        <w:keepLines w:val="1"/>
        <w:keepNext w:val="1"/>
        <w:widowControl w:val="1"/>
      </w:pPr>
      <w:r>
        <w:t>Cada indicador (M1–M15) se ha definido con GQM y se ha evaluado con PRAGMATIC.</w:t>
      </w:r>
    </w:p>
    <w:p>
      <w:pPr>
        <w:pStyle w:val="ListBullet"/>
        <w:keepLines w:val="1"/>
        <w:keepNext w:val="1"/>
        <w:widowControl w:val="1"/>
      </w:pPr>
      <w:r>
        <w:t>Seleccionamos un conjunto de métricas "estrella" para cuadros de mando y supervisión.</w:t>
      </w:r>
    </w:p>
    <w:p>
      <w:pPr>
        <w:pStyle w:val="ListBullet"/>
        <w:keepLines w:val="1"/>
        <w:widowControl w:val="1"/>
      </w:pPr>
      <w:r>
        <w:t>El Índice Global de Madurez (IGM) permite situar a la organización frente a su sector.</w:t>
      </w:r>
    </w:p>
    <w:p>
      <w:pPr>
        <w:pStyle w:val="Heading2"/>
        <w:keepNext/>
        <w:keepLines/>
      </w:pPr>
      <w:r>
        <w:rPr>
          <w:color w:val="0066CC"/>
        </w:rPr>
        <w:t>Diapositiva 3 – Por qué cambiar de métricas</w:t>
      </w:r>
    </w:p>
    <w:p>
      <w:pPr>
        <w:pStyle w:val="ListBullet"/>
        <w:keepLines w:val="1"/>
        <w:keepNext w:val="1"/>
        <w:widowControl w:val="1"/>
      </w:pPr>
      <w:r>
        <w:t>Problemas típicos de las métricas tradicionales:</w:t>
      </w:r>
    </w:p>
    <w:p>
      <w:pPr>
        <w:pStyle w:val="ListBullet"/>
        <w:keepLines w:val="1"/>
        <w:keepNext w:val="1"/>
        <w:widowControl w:val="1"/>
      </w:pPr>
      <w:r>
        <w:t>Enfoque en volumen (número de incidencias, vulnerabilidades) sin conexión clara con objetivos.</w:t>
      </w:r>
    </w:p>
    <w:p>
      <w:pPr>
        <w:pStyle w:val="ListBullet"/>
        <w:keepLines w:val="1"/>
        <w:keepNext w:val="1"/>
        <w:widowControl w:val="1"/>
      </w:pPr>
      <w:r>
        <w:t>Dificultad para explicar su significado a negocio o a la alta dirección.</w:t>
      </w:r>
    </w:p>
    <w:p>
      <w:pPr>
        <w:pStyle w:val="ListBullet"/>
        <w:keepLines w:val="1"/>
        <w:keepNext w:val="1"/>
        <w:widowControl w:val="1"/>
      </w:pPr>
      <w:r>
        <w:t>Falta de trazabilidad con requisitos de NIS2 y ENS.[web:21][web:24][web:60][web:72]</w:t>
      </w:r>
    </w:p>
    <w:p>
      <w:pPr>
        <w:pStyle w:val="ListBullet"/>
        <w:keepLines w:val="1"/>
        <w:keepNext w:val="1"/>
        <w:widowControl w:val="1"/>
      </w:pPr>
      <w:r>
        <w:t>Oportunidad:</w:t>
      </w:r>
    </w:p>
    <w:p>
      <w:pPr>
        <w:pStyle w:val="ListBullet"/>
        <w:keepLines w:val="1"/>
        <w:keepNext w:val="1"/>
        <w:widowControl w:val="1"/>
      </w:pPr>
      <w:r>
        <w:t>Usar OWASP como lenguaje técnico estándar.</w:t>
      </w:r>
    </w:p>
    <w:p>
      <w:pPr>
        <w:pStyle w:val="ListBullet"/>
        <w:keepLines w:val="1"/>
        <w:widowControl w:val="1"/>
      </w:pPr>
      <w:r>
        <w:t>Usar GQM y PRAGMATIC para asegurar que las métricas sirven para algo más que decorar informes.</w:t>
      </w:r>
    </w:p>
    <w:p>
      <w:pPr>
        <w:pStyle w:val="Heading2"/>
        <w:keepNext/>
        <w:keepLines/>
      </w:pPr>
      <w:r>
        <w:rPr>
          <w:color w:val="0066CC"/>
        </w:rPr>
        <w:t>Diapositiva 4 – GQM en 30 segundos</w:t>
      </w:r>
    </w:p>
    <w:p>
      <w:pPr>
        <w:pStyle w:val="ListBullet"/>
        <w:keepLines w:val="1"/>
        <w:keepNext w:val="1"/>
        <w:widowControl w:val="1"/>
      </w:pPr>
      <w:r>
        <w:t>Esquema visual (texto en la diapositiva):</w:t>
      </w:r>
    </w:p>
    <w:p>
      <w:pPr>
        <w:pStyle w:val="ListBullet"/>
        <w:keepLines w:val="1"/>
        <w:keepNext w:val="1"/>
        <w:widowControl w:val="1"/>
      </w:pPr>
      <w:r>
        <w:t>Goal: meta de negocio / nacional (ej.: reducir exposición a A01–A03 en servicios esenciales).</w:t>
      </w:r>
    </w:p>
    <w:p>
      <w:pPr>
        <w:pStyle w:val="ListBullet"/>
        <w:keepLines w:val="1"/>
        <w:keepNext w:val="1"/>
        <w:widowControl w:val="1"/>
      </w:pPr>
      <w:r>
        <w:t>Question: preguntas que nos dicen si avanzamos (ej.: ¿qué % de activos críticos está libre de esas vulnerabilidades?).</w:t>
      </w:r>
    </w:p>
    <w:p>
      <w:pPr>
        <w:pStyle w:val="ListBullet"/>
        <w:keepLines w:val="1"/>
        <w:keepNext w:val="1"/>
        <w:widowControl w:val="1"/>
      </w:pPr>
      <w:r>
        <w:t>Metric: dato medible que responde (ej.: M2 – % de activos críticos sin vulns A01–A03).</w:t>
      </w:r>
    </w:p>
    <w:p>
      <w:pPr>
        <w:pStyle w:val="ListBullet"/>
        <w:keepLines w:val="1"/>
        <w:widowControl w:val="1"/>
      </w:pPr>
      <w:r>
        <w:t>Nota: señalar que GQM garantiza que ningún indicador está “flotando” sin meta asociada.[web:87][web:95][web:98]</w:t>
      </w:r>
    </w:p>
    <w:p>
      <w:pPr>
        <w:pStyle w:val="Heading2"/>
        <w:keepNext/>
        <w:keepLines/>
      </w:pPr>
      <w:r>
        <w:rPr>
          <w:color w:val="0066CC"/>
        </w:rPr>
        <w:t>Diapositiva 5 – PRAGMATIC en 30 segundos</w:t>
      </w:r>
    </w:p>
    <w:p>
      <w:pPr>
        <w:pStyle w:val="ListBullet"/>
        <w:keepLines w:val="1"/>
        <w:keepNext w:val="1"/>
        <w:widowControl w:val="1"/>
      </w:pPr>
      <w:r>
        <w:t>Explicar que PRAGMATIC evalúa cada métrica según nueve criterios:</w:t>
      </w:r>
    </w:p>
    <w:p>
      <w:pPr>
        <w:pStyle w:val="ListBullet"/>
        <w:keepLines w:val="1"/>
        <w:keepNext w:val="1"/>
        <w:widowControl w:val="1"/>
      </w:pPr>
      <w:r>
        <w:t>Predictivo, Relevante, Accionable, Genuino, Significativo, Preciso, Oportuno, Independiente, Rentable.[web:88][web:91][web:94][web:96]</w:t>
      </w:r>
    </w:p>
    <w:p>
      <w:pPr>
        <w:pStyle w:val="ListBullet"/>
        <w:keepLines w:val="1"/>
        <w:keepNext w:val="1"/>
        <w:widowControl w:val="1"/>
      </w:pPr>
      <w:r>
        <w:t>Resaltar en una frase:</w:t>
      </w:r>
    </w:p>
    <w:p>
      <w:pPr>
        <w:pStyle w:val="ListBullet"/>
        <w:keepLines w:val="1"/>
        <w:widowControl w:val="1"/>
      </w:pPr>
      <w:r>
        <w:t>"No toda métrica buena técnicamente es buena para la gestión; PRAGMATIC nos ayuda a separar el grano de la paja".</w:t>
      </w:r>
    </w:p>
    <w:p>
      <w:pPr>
        <w:pStyle w:val="Heading2"/>
        <w:keepNext/>
        <w:keepLines/>
      </w:pPr>
      <w:r>
        <w:rPr>
          <w:color w:val="0066CC"/>
        </w:rPr>
        <w:t>Diapositiva 6 – Catálogo de indicadores M1–M15</w:t>
      </w:r>
    </w:p>
    <w:p>
      <w:pPr>
        <w:pStyle w:val="ListBullet"/>
        <w:keepLines w:val="1"/>
        <w:keepNext w:val="1"/>
        <w:widowControl w:val="1"/>
      </w:pPr>
      <w:r>
        <w:t>Tabla simplificada con 2–3 columnas:</w:t>
      </w:r>
    </w:p>
    <w:p>
      <w:pPr>
        <w:pStyle w:val="ListBullet"/>
        <w:keepLines w:val="1"/>
        <w:keepNext w:val="1"/>
        <w:widowControl w:val="1"/>
      </w:pPr>
      <w:r>
        <w:t>ID (M1–M15).</w:t>
      </w:r>
    </w:p>
    <w:p>
      <w:pPr>
        <w:pStyle w:val="ListBullet"/>
        <w:keepLines w:val="1"/>
        <w:keepNext w:val="1"/>
        <w:widowControl w:val="1"/>
      </w:pPr>
      <w:r>
        <w:t>Tema (Top 10, SAMM, ASVS, Riesgo, Gobernanza).</w:t>
      </w:r>
    </w:p>
    <w:p>
      <w:pPr>
        <w:pStyle w:val="ListBullet"/>
        <w:keepLines w:val="1"/>
        <w:keepNext w:val="1"/>
        <w:widowControl w:val="1"/>
      </w:pPr>
      <w:r>
        <w:t>Descripción breve.</w:t>
      </w:r>
    </w:p>
    <w:p>
      <w:pPr>
        <w:pStyle w:val="ListBullet"/>
        <w:keepLines w:val="1"/>
        <w:widowControl w:val="1"/>
      </w:pPr>
      <w:r>
        <w:t>Nota visual: destacar con un color los indicadores que puntúan mejor en PRAGMATIC.</w:t>
      </w:r>
    </w:p>
    <w:p>
      <w:pPr>
        <w:pStyle w:val="Heading2"/>
        <w:keepNext/>
        <w:keepLines/>
      </w:pPr>
      <w:r>
        <w:rPr>
          <w:color w:val="0066CC"/>
        </w:rPr>
        <w:t>Diapositiva 7 – Ejemplo detallado (M2)</w:t>
      </w:r>
    </w:p>
    <w:p>
      <w:pPr>
        <w:pStyle w:val="ListBullet"/>
        <w:keepLines w:val="1"/>
        <w:keepNext w:val="1"/>
        <w:widowControl w:val="1"/>
      </w:pPr>
      <w:r>
        <w:t>Mostrar el flujo GQM completo para M2:</w:t>
      </w:r>
    </w:p>
    <w:p>
      <w:pPr>
        <w:pStyle w:val="ListBullet"/>
        <w:keepLines w:val="1"/>
        <w:keepNext w:val="1"/>
        <w:widowControl w:val="1"/>
      </w:pPr>
      <w:r>
        <w:t>Meta: robustez de activos críticos frente a A01–A03.</w:t>
      </w:r>
    </w:p>
    <w:p>
      <w:pPr>
        <w:pStyle w:val="ListBullet"/>
        <w:keepLines w:val="1"/>
        <w:keepNext w:val="1"/>
        <w:widowControl w:val="1"/>
      </w:pPr>
      <w:r>
        <w:t>Preguntas clave (3–4 bullet points).</w:t>
      </w:r>
    </w:p>
    <w:p>
      <w:pPr>
        <w:pStyle w:val="ListBullet"/>
        <w:keepLines w:val="1"/>
        <w:keepNext w:val="1"/>
        <w:widowControl w:val="1"/>
      </w:pPr>
      <w:r>
        <w:t>Métrica M2: definición, unidad, fuentes.</w:t>
      </w:r>
    </w:p>
    <w:p>
      <w:pPr>
        <w:pStyle w:val="ListBullet"/>
        <w:keepLines w:val="1"/>
        <w:widowControl w:val="1"/>
      </w:pPr>
      <w:r>
        <w:t>Mostrar una pequeña tabla con las puntuaciones PRAGMATIC de M2.</w:t>
      </w:r>
    </w:p>
    <w:p>
      <w:pPr>
        <w:pStyle w:val="Heading2"/>
        <w:keepNext/>
        <w:keepLines/>
      </w:pPr>
      <w:r>
        <w:rPr>
          <w:color w:val="0066CC"/>
        </w:rPr>
        <w:t>Diapositiva 8 – Matriz PRAGMATIC (visión agregada)</w:t>
      </w:r>
    </w:p>
    <w:p>
      <w:pPr>
        <w:pStyle w:val="ListBullet"/>
        <w:keepLines w:val="1"/>
        <w:keepNext w:val="1"/>
        <w:widowControl w:val="1"/>
      </w:pPr>
      <w:r>
        <w:t>Heatmap o tabla resumen:</w:t>
      </w:r>
    </w:p>
    <w:p>
      <w:pPr>
        <w:pStyle w:val="ListBullet"/>
        <w:keepLines w:val="1"/>
        <w:keepNext w:val="1"/>
        <w:widowControl w:val="1"/>
      </w:pPr>
      <w:r>
        <w:t>Métricas en filas.</w:t>
      </w:r>
    </w:p>
    <w:p>
      <w:pPr>
        <w:pStyle w:val="ListBullet"/>
        <w:keepLines w:val="1"/>
        <w:keepNext w:val="1"/>
        <w:widowControl w:val="1"/>
      </w:pPr>
      <w:r>
        <w:t>Criterios PRAGMATIC en columnas.</w:t>
      </w:r>
    </w:p>
    <w:p>
      <w:pPr>
        <w:pStyle w:val="ListBullet"/>
        <w:keepLines w:val="1"/>
        <w:keepNext w:val="1"/>
        <w:widowControl w:val="1"/>
      </w:pPr>
      <w:r>
        <w:t>Colores según nota (0–5).</w:t>
      </w:r>
    </w:p>
    <w:p>
      <w:pPr>
        <w:pStyle w:val="ListBullet"/>
        <w:keepLines w:val="1"/>
        <w:widowControl w:val="1"/>
      </w:pPr>
      <w:r>
        <w:t>Mensaje: identificar rápidamente métricas "estrella" y métricas de segundo nivel.</w:t>
      </w:r>
    </w:p>
    <w:p>
      <w:pPr>
        <w:pStyle w:val="Heading2"/>
        <w:keepNext/>
        <w:keepLines/>
      </w:pPr>
      <w:r>
        <w:rPr>
          <w:color w:val="0066CC"/>
        </w:rPr>
        <w:t>Diapositiva 9 – Índice Global de Madurez (IGM)</w:t>
      </w:r>
    </w:p>
    <w:p>
      <w:pPr>
        <w:pStyle w:val="ListBullet"/>
        <w:keepLines w:val="1"/>
        <w:keepNext w:val="1"/>
        <w:widowControl w:val="1"/>
      </w:pPr>
      <w:r>
        <w:t>Explicar estructura del IGM:</w:t>
      </w:r>
    </w:p>
    <w:p>
      <w:pPr>
        <w:pStyle w:val="ListBullet"/>
        <w:keepLines w:val="1"/>
        <w:keepNext w:val="1"/>
        <w:widowControl w:val="1"/>
      </w:pPr>
      <w:r>
        <w:t>Subíndices: Exposición OWASP, SAMM, ASVS, Gobernanza/Cultura.</w:t>
      </w:r>
    </w:p>
    <w:p>
      <w:pPr>
        <w:pStyle w:val="ListBullet"/>
        <w:keepLines w:val="1"/>
        <w:keepNext w:val="1"/>
        <w:widowControl w:val="1"/>
      </w:pPr>
      <w:r>
        <w:t>Escala 0–100.</w:t>
      </w:r>
    </w:p>
    <w:p>
      <w:pPr>
        <w:pStyle w:val="ListBullet"/>
        <w:keepLines w:val="1"/>
        <w:keepNext w:val="1"/>
        <w:widowControl w:val="1"/>
      </w:pPr>
      <w:r>
        <w:t>Gráfico propuesto:</w:t>
      </w:r>
    </w:p>
    <w:p>
      <w:pPr>
        <w:pStyle w:val="ListBullet"/>
        <w:keepLines w:val="1"/>
        <w:keepNext w:val="1"/>
        <w:widowControl w:val="1"/>
      </w:pPr>
      <w:r>
        <w:t>Radar con los cuatro subíndices.</w:t>
      </w:r>
    </w:p>
    <w:p>
      <w:pPr>
        <w:pStyle w:val="ListBullet"/>
        <w:keepLines w:val="1"/>
        <w:widowControl w:val="1"/>
      </w:pPr>
      <w:r>
        <w:t>Mensaje: permite ver de un vistazo dónde estamos más débiles.</w:t>
      </w:r>
    </w:p>
    <w:p>
      <w:pPr>
        <w:pStyle w:val="Heading2"/>
        <w:keepNext/>
        <w:keepLines/>
      </w:pPr>
      <w:r>
        <w:rPr>
          <w:color w:val="0066CC"/>
        </w:rPr>
        <w:t>Diapositiva 10 – IGM y sector / benchmark</w:t>
      </w:r>
    </w:p>
    <w:p>
      <w:pPr>
        <w:pStyle w:val="ListBullet"/>
        <w:keepLines w:val="1"/>
        <w:keepNext w:val="1"/>
        <w:widowControl w:val="1"/>
      </w:pPr>
      <w:r>
        <w:t>Mostrar la posición de la organización frente a:</w:t>
      </w:r>
    </w:p>
    <w:p>
      <w:pPr>
        <w:pStyle w:val="ListBullet"/>
        <w:keepLines w:val="1"/>
        <w:keepNext w:val="1"/>
        <w:widowControl w:val="1"/>
      </w:pPr>
      <w:r>
        <w:t>Media sectorial.</w:t>
      </w:r>
    </w:p>
    <w:p>
      <w:pPr>
        <w:pStyle w:val="ListBullet"/>
        <w:keepLines w:val="1"/>
        <w:keepNext w:val="1"/>
        <w:widowControl w:val="1"/>
      </w:pPr>
      <w:r>
        <w:t>Rango de pares.</w:t>
      </w:r>
    </w:p>
    <w:p>
      <w:pPr>
        <w:pStyle w:val="ListBullet"/>
        <w:keepLines w:val="1"/>
        <w:keepNext w:val="1"/>
        <w:widowControl w:val="1"/>
      </w:pPr>
      <w:r>
        <w:t>Gráfico sugerido:</w:t>
      </w:r>
    </w:p>
    <w:p>
      <w:pPr>
        <w:pStyle w:val="ListBullet"/>
        <w:keepLines w:val="1"/>
        <w:keepNext w:val="1"/>
        <w:widowControl w:val="1"/>
      </w:pPr>
      <w:r>
        <w:t>Barras comparativas o boxplot de IGM.</w:t>
      </w:r>
    </w:p>
    <w:p>
      <w:pPr>
        <w:pStyle w:val="ListBullet"/>
        <w:keepLines w:val="1"/>
        <w:widowControl w:val="1"/>
      </w:pPr>
      <w:r>
        <w:t>Mensaje: situar la conversación en clave de competitividad y cumplimiento.</w:t>
      </w:r>
    </w:p>
    <w:p>
      <w:pPr>
        <w:pStyle w:val="Heading2"/>
        <w:keepNext/>
        <w:keepLines/>
      </w:pPr>
      <w:r>
        <w:rPr>
          <w:color w:val="0066CC"/>
        </w:rPr>
        <w:t>Diapositiva 11 – Alineamiento con NIS2 y ENS</w:t>
      </w:r>
    </w:p>
    <w:p>
      <w:pPr>
        <w:pStyle w:val="ListBullet"/>
        <w:keepLines w:val="1"/>
        <w:keepNext w:val="1"/>
        <w:widowControl w:val="1"/>
      </w:pPr>
      <w:r>
        <w:t>Tabla o diagrama que muestre:</w:t>
      </w:r>
    </w:p>
    <w:p>
      <w:pPr>
        <w:pStyle w:val="ListBullet"/>
        <w:keepLines w:val="1"/>
        <w:keepNext w:val="1"/>
        <w:widowControl w:val="1"/>
      </w:pPr>
      <w:r>
        <w:t>Cómo M1–M15 alimentan ámbitos NIS2 (gestión de riesgos, medidas técnicas, gobernanza, cadena de suministro, continuidad).</w:t>
      </w:r>
    </w:p>
    <w:p>
      <w:pPr>
        <w:pStyle w:val="ListBullet"/>
        <w:keepLines w:val="1"/>
        <w:keepNext w:val="1"/>
        <w:widowControl w:val="1"/>
      </w:pPr>
      <w:r>
        <w:t>Qué dominios ENS se ven cubiertos (riesgos, medidas, continuidad, coordinación con CSIRTs).[web:21][web:24][web:60][web:72][web:77]</w:t>
      </w:r>
    </w:p>
    <w:p>
      <w:pPr>
        <w:pStyle w:val="ListBullet"/>
        <w:keepLines w:val="1"/>
        <w:widowControl w:val="1"/>
      </w:pPr>
      <w:r>
        <w:t>Objetivo: dejar claro que esto no es un ejercicio académico, sino un soporte a obligaciones reales.</w:t>
      </w:r>
    </w:p>
    <w:p>
      <w:pPr>
        <w:pStyle w:val="Heading2"/>
        <w:keepNext/>
        <w:keepLines/>
      </w:pPr>
      <w:r>
        <w:rPr>
          <w:color w:val="0066CC"/>
        </w:rPr>
        <w:t>Diapositiva 12 – Selección de métricas para el cuadro de mando</w:t>
      </w:r>
    </w:p>
    <w:p>
      <w:pPr>
        <w:pStyle w:val="ListBullet"/>
        <w:keepLines w:val="1"/>
        <w:keepNext w:val="1"/>
        <w:widowControl w:val="1"/>
      </w:pPr>
      <w:r>
        <w:t>Seleccionar 6–8 métricas "core" según su puntuación PRAGMATIC y relevancia regulatoria (por ejemplo, M2, M4, M9, M12, M14, M15).</w:t>
      </w:r>
    </w:p>
    <w:p>
      <w:pPr>
        <w:pStyle w:val="ListBullet"/>
        <w:keepLines w:val="1"/>
        <w:keepNext w:val="1"/>
        <w:widowControl w:val="1"/>
      </w:pPr>
      <w:r>
        <w:t>Mostrar en una tabla:</w:t>
      </w:r>
    </w:p>
    <w:p>
      <w:pPr>
        <w:pStyle w:val="ListBullet"/>
        <w:keepLines w:val="1"/>
        <w:keepNext w:val="1"/>
        <w:widowControl w:val="1"/>
      </w:pPr>
      <w:r>
        <w:t>Métrica.</w:t>
      </w:r>
    </w:p>
    <w:p>
      <w:pPr>
        <w:pStyle w:val="ListBullet"/>
        <w:keepLines w:val="1"/>
        <w:keepNext w:val="1"/>
        <w:widowControl w:val="1"/>
      </w:pPr>
      <w:r>
        <w:t>Nota PRAGMATIC global.</w:t>
      </w:r>
    </w:p>
    <w:p>
      <w:pPr>
        <w:pStyle w:val="ListBullet"/>
        <w:keepLines w:val="1"/>
        <w:widowControl w:val="1"/>
      </w:pPr>
      <w:r>
        <w:t>Función en el cuadro de mando (KPI/KRI, alerta temprana, diagnóstico en profundidad).</w:t>
      </w:r>
    </w:p>
    <w:p>
      <w:pPr>
        <w:pStyle w:val="Heading2"/>
        <w:keepNext/>
        <w:keepLines/>
      </w:pPr>
      <w:r>
        <w:rPr>
          <w:color w:val="0066CC"/>
        </w:rPr>
        <w:t>Diapositiva 13 – Impacto en decisiones y ROI</w:t>
      </w:r>
    </w:p>
    <w:p>
      <w:pPr>
        <w:pStyle w:val="ListBullet"/>
        <w:keepLines w:val="1"/>
        <w:keepNext w:val="1"/>
        <w:widowControl w:val="1"/>
      </w:pPr>
      <w:r>
        <w:t>Conectar brevemente:</w:t>
      </w:r>
    </w:p>
    <w:p>
      <w:pPr>
        <w:pStyle w:val="ListBullet"/>
        <w:keepLines w:val="1"/>
        <w:keepNext w:val="1"/>
        <w:widowControl w:val="1"/>
      </w:pPr>
      <w:r>
        <w:t>Mejora en IGM y subíndices → reducción estimada de riesgo (menos incidentes, menor impacto).[web:99]</w:t>
      </w:r>
    </w:p>
    <w:p>
      <w:pPr>
        <w:pStyle w:val="ListBullet"/>
        <w:keepLines w:val="1"/>
        <w:keepNext w:val="1"/>
        <w:widowControl w:val="1"/>
      </w:pPr>
      <w:r>
        <w:t>Costes de seguridad → inversión.</w:t>
      </w:r>
    </w:p>
    <w:p>
      <w:pPr>
        <w:pStyle w:val="ListBullet"/>
        <w:keepLines w:val="1"/>
        <w:keepNext w:val="1"/>
        <w:widowControl w:val="1"/>
      </w:pPr>
      <w:r>
        <w:t>Fórmula conceptual de ROI de seguridad.</w:t>
      </w:r>
    </w:p>
    <w:p>
      <w:pPr>
        <w:pStyle w:val="ListBullet"/>
        <w:keepLines w:val="1"/>
        <w:widowControl w:val="1"/>
      </w:pPr>
      <w:r>
        <w:t>Mensaje: las métricas permiten defender inversiones no como “coste hundido”, sino como mitigación cuantificable de riesgo.</w:t>
      </w:r>
    </w:p>
    <w:p>
      <w:pPr>
        <w:pStyle w:val="Heading2"/>
        <w:keepNext/>
        <w:keepLines/>
      </w:pPr>
      <w:r>
        <w:rPr>
          <w:color w:val="0066CC"/>
        </w:rPr>
        <w:t>Diapositiva 14 – Hoja de ruta</w:t>
      </w:r>
    </w:p>
    <w:p>
      <w:pPr>
        <w:pStyle w:val="ListBullet"/>
        <w:keepLines w:val="1"/>
        <w:keepNext w:val="1"/>
        <w:widowControl w:val="1"/>
      </w:pPr>
      <w:r>
        <w:t>Propuesta en 3 fases:</w:t>
      </w:r>
    </w:p>
    <w:p>
      <w:pPr>
        <w:pStyle w:val="ListBullet"/>
        <w:keepLines w:val="1"/>
        <w:keepNext w:val="1"/>
        <w:widowControl w:val="1"/>
      </w:pPr>
      <w:r>
        <w:t>Fase 1: Implementar medición de M1–M15 y cálculo de IGM (6–12 meses).</w:t>
      </w:r>
    </w:p>
    <w:p>
      <w:pPr>
        <w:pStyle w:val="ListBullet"/>
        <w:keepLines w:val="1"/>
        <w:keepNext w:val="1"/>
        <w:widowControl w:val="1"/>
      </w:pPr>
      <w:r>
        <w:t>Fase 2: Ajustar métricas, umbrales y PRAGMATIC según experiencia (12–24 meses).</w:t>
      </w:r>
    </w:p>
    <w:p>
      <w:pPr>
        <w:pStyle w:val="ListBullet"/>
        <w:keepLines w:val="1"/>
        <w:widowControl w:val="1"/>
      </w:pPr>
      <w:r>
        <w:t>Fase 3: Integrar métricas en planes estratégicos, contratos y supervisión regulatoria.</w:t>
      </w:r>
    </w:p>
    <w:p>
      <w:pPr>
        <w:pStyle w:val="Heading2"/>
        <w:keepNext/>
        <w:keepLines/>
      </w:pPr>
      <w:r>
        <w:rPr>
          <w:color w:val="0066CC"/>
        </w:rPr>
        <w:t>Diapositiva 15 – Cierre y llamada a la acción</w:t>
      </w:r>
    </w:p>
    <w:p>
      <w:pPr>
        <w:pStyle w:val="ListBullet"/>
        <w:keepLines w:val="1"/>
        <w:keepNext w:val="1"/>
        <w:widowControl w:val="1"/>
      </w:pPr>
      <w:r>
        <w:t xml:space="preserve">Mensaje final: </w:t>
      </w:r>
    </w:p>
    <w:p>
      <w:pPr>
        <w:pStyle w:val="ListBullet"/>
        <w:keepLines w:val="1"/>
        <w:keepNext w:val="1"/>
        <w:widowControl w:val="1"/>
      </w:pPr>
      <w:r>
        <w:t>"Si queremos que NIS2/ENS no sean solo un ejercicio de compliance, necesitamos métricas que midan lo que importa y permitan actuar".</w:t>
      </w:r>
    </w:p>
    <w:p>
      <w:pPr>
        <w:pStyle w:val="ListBullet"/>
        <w:keepLines w:val="1"/>
        <w:keepNext w:val="1"/>
        <w:widowControl w:val="1"/>
      </w:pPr>
      <w:r>
        <w:t>Próximos pasos concretos:</w:t>
      </w:r>
    </w:p>
    <w:p>
      <w:pPr>
        <w:pStyle w:val="ListBullet"/>
        <w:keepLines w:val="1"/>
        <w:keepNext w:val="1"/>
        <w:widowControl w:val="1"/>
      </w:pPr>
      <w:r>
        <w:t>Validar el catálogo de métricas.</w:t>
      </w:r>
    </w:p>
    <w:p>
      <w:pPr>
        <w:pStyle w:val="ListBullet"/>
        <w:keepLines w:val="1"/>
        <w:keepNext w:val="1"/>
        <w:widowControl w:val="1"/>
      </w:pPr>
      <w:r>
        <w:t>Aprobar la implantación del modelo GQM + PRAGMATIC.</w:t>
      </w:r>
    </w:p>
    <w:p>
      <w:pPr>
        <w:pStyle w:val="ListBullet"/>
        <w:keepLines w:val="1"/>
        <w:widowControl w:val="1"/>
      </w:pPr>
      <w:r>
        <w:t>Fijar un calendario de mediciones y revisiones.</w:t>
      </w:r>
    </w:p>
    <w:p>
      <w:r>
        <w:t>Esta plantilla está pensada para que un CISO pueda explicar, en menos de una hora y con cierto estilo, por qué el nuevo sistema de métricas merece existencia propia en la agenda de dirección y no solo en el disco duro del equipo de seguridad.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