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– Encuesta OWASP 2025 – España</w:t>
      </w:r>
    </w:p>
    <w:p>
      <w:r>
        <w:t>Esta plantilla describe la estructura recomendada de una presentación ejecutiva (PowerPoint, Keynote, etc.) para comunicar los resultados de la encuesta OWASP 2025 – España a la alta dirección, órganos de gobierno o reguladores.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 sugerido:</w:t>
        <w:br/>
        <w:t xml:space="preserve">  "Estado de la seguridad de aplicaciones y madurez OWASP – [Nombre de la organización]".</w:t>
      </w:r>
    </w:p>
    <w:p>
      <w:pPr>
        <w:pStyle w:val="ListBullet"/>
        <w:keepLines w:val="1"/>
        <w:keepNext w:val="1"/>
        <w:widowControl w:val="1"/>
      </w:pPr>
      <w:r>
        <w:t>Subtítulo:</w:t>
        <w:br/>
        <w:t xml:space="preserve">  "Resultados de la Encuesta OWASP 2025 – España".</w:t>
      </w:r>
    </w:p>
    <w:p>
      <w:pPr>
        <w:pStyle w:val="ListBullet"/>
        <w:keepLines w:val="1"/>
        <w:keepNext w:val="1"/>
        <w:widowControl w:val="1"/>
      </w:pPr>
      <w:r>
        <w:t>Elementos adicionales:</w:t>
      </w:r>
    </w:p>
    <w:p>
      <w:pPr>
        <w:pStyle w:val="ListBullet"/>
        <w:keepLines w:val="1"/>
        <w:keepNext w:val="1"/>
        <w:widowControl w:val="1"/>
      </w:pPr>
      <w:r>
        <w:t>Logo de la organización.</w:t>
      </w:r>
    </w:p>
    <w:p>
      <w:pPr>
        <w:pStyle w:val="ListBullet"/>
        <w:keepLines w:val="1"/>
        <w:keepNext w:val="1"/>
        <w:widowControl w:val="1"/>
      </w:pPr>
      <w:r>
        <w:t>Fecha.</w:t>
      </w:r>
    </w:p>
    <w:p>
      <w:pPr>
        <w:pStyle w:val="ListBullet"/>
        <w:keepLines w:val="1"/>
        <w:widowControl w:val="1"/>
      </w:pPr>
      <w:r>
        <w:t>Nombre del responsable que presenta (CISO u otro).</w:t>
      </w:r>
    </w:p>
    <w:p>
      <w:pPr>
        <w:pStyle w:val="Heading2"/>
        <w:keepNext/>
        <w:keepLines/>
      </w:pPr>
      <w:r>
        <w:rPr>
          <w:color w:val="0066CC"/>
        </w:rPr>
        <w:t>Diapositiva 2 – Mensaje clave (Executive Summary)</w:t>
      </w:r>
    </w:p>
    <w:p>
      <w:pPr>
        <w:pStyle w:val="ListBullet"/>
        <w:keepLines w:val="1"/>
        <w:keepNext w:val="1"/>
        <w:widowControl w:val="1"/>
      </w:pPr>
      <w:r>
        <w:t>3–5 mensajes clave en formato viñetas, por ejemplo:</w:t>
      </w:r>
    </w:p>
    <w:p>
      <w:pPr>
        <w:pStyle w:val="ListBullet"/>
        <w:keepLines w:val="1"/>
        <w:keepNext w:val="1"/>
        <w:widowControl w:val="1"/>
      </w:pPr>
      <w:r>
        <w:t>Nivel global de madurez (IGM) y posición relativa respecto al sector.</w:t>
      </w:r>
    </w:p>
    <w:p>
      <w:pPr>
        <w:pStyle w:val="ListBullet"/>
        <w:keepLines w:val="1"/>
        <w:keepNext w:val="1"/>
        <w:widowControl w:val="1"/>
      </w:pPr>
      <w:r>
        <w:t>Principales fortalezas (por ejemplo, buena adopción de ASVS, fuerte cultura de reporte).</w:t>
      </w:r>
    </w:p>
    <w:p>
      <w:pPr>
        <w:pStyle w:val="ListBullet"/>
        <w:keepLines w:val="1"/>
        <w:keepNext w:val="1"/>
        <w:widowControl w:val="1"/>
      </w:pPr>
      <w:r>
        <w:t>Principales debilidades (por ejemplo, baja madurez SAMM en Gobernanza, escaso uso de métricas de riesgo OWASP).</w:t>
      </w:r>
    </w:p>
    <w:p>
      <w:pPr>
        <w:pStyle w:val="ListBullet"/>
        <w:keepLines w:val="1"/>
        <w:keepNext w:val="1"/>
        <w:widowControl w:val="1"/>
      </w:pPr>
      <w:r>
        <w:t>Riesgos estratégicos derivados (alineados con NIS2/ENS).</w:t>
      </w:r>
    </w:p>
    <w:p>
      <w:pPr>
        <w:pStyle w:val="ListBullet"/>
        <w:keepLines w:val="1"/>
        <w:widowControl w:val="1"/>
      </w:pPr>
      <w:r>
        <w:t>Próximos pasos recomendados.</w:t>
      </w:r>
    </w:p>
    <w:p>
      <w:r>
        <w:t>El objetivo es que, si solo se ve esta diapositiva, se entienda el diagnóstico esencial.</w:t>
      </w:r>
    </w:p>
    <w:p>
      <w:pPr>
        <w:pStyle w:val="Heading2"/>
        <w:keepNext/>
        <w:keepLines/>
      </w:pPr>
      <w:r>
        <w:rPr>
          <w:color w:val="0066CC"/>
        </w:rPr>
        <w:t>Diapositiva 3 – Contexto y alcance</w:t>
      </w:r>
    </w:p>
    <w:p>
      <w:pPr>
        <w:pStyle w:val="ListBullet"/>
        <w:keepLines w:val="1"/>
        <w:keepNext w:val="1"/>
        <w:widowControl w:val="1"/>
      </w:pPr>
      <w:r>
        <w:t>Breve recordatorio de:</w:t>
      </w:r>
    </w:p>
    <w:p>
      <w:pPr>
        <w:pStyle w:val="ListBullet"/>
        <w:keepLines w:val="1"/>
        <w:keepNext w:val="1"/>
        <w:widowControl w:val="1"/>
      </w:pPr>
      <w:r>
        <w:t>Objetivo de la encuesta.</w:t>
      </w:r>
    </w:p>
    <w:p>
      <w:pPr>
        <w:pStyle w:val="ListBullet"/>
        <w:keepLines w:val="1"/>
        <w:keepNext w:val="1"/>
        <w:widowControl w:val="1"/>
      </w:pPr>
      <w:r>
        <w:t>Marcos utilizados (OWASP Top 10:2025, SAMM, ASVS; NIS2; ENS).</w:t>
      </w:r>
    </w:p>
    <w:p>
      <w:pPr>
        <w:pStyle w:val="ListBullet"/>
        <w:keepLines w:val="1"/>
        <w:keepNext w:val="1"/>
        <w:widowControl w:val="1"/>
      </w:pPr>
      <w:r>
        <w:br/>
        <w:t>Población cubierta (ámbito, número de aplicaciones/sistemas, unidades incluidas).</w:t>
        <w:br/>
      </w:r>
    </w:p>
    <w:p>
      <w:pPr>
        <w:pStyle w:val="ListBullet"/>
        <w:keepLines w:val="1"/>
        <w:widowControl w:val="1"/>
      </w:pPr>
      <w:r>
        <w:br/>
        <w:t>Gráfico simple (por ejemplo, un diagrama de Venn) mostrando la intersección OWASP–NIS2–ENS.</w:t>
        <w:br/>
      </w:r>
    </w:p>
    <w:p>
      <w:r>
        <w:t>Población cubierta (ámbito, número de aplicaciones/sistemas, unidades incluidas).</w:t>
      </w:r>
    </w:p>
    <w:p>
      <w:r>
        <w:t>Gráfico simple (por ejemplo, un diagrama de Venn) mostrando la intersección OWASP–NIS2–ENS.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>Presentar el IGM global de la organización en una escala 0–100.</w:t>
      </w:r>
    </w:p>
    <w:p>
      <w:pPr>
        <w:pStyle w:val="ListBullet"/>
        <w:keepLines w:val="1"/>
        <w:keepNext w:val="1"/>
        <w:widowControl w:val="1"/>
      </w:pPr>
      <w:r>
        <w:t>Comparar con:</w:t>
      </w:r>
    </w:p>
    <w:p>
      <w:pPr>
        <w:pStyle w:val="ListBullet"/>
        <w:keepLines w:val="1"/>
        <w:keepNext w:val="1"/>
        <w:widowControl w:val="1"/>
      </w:pPr>
      <w:r>
        <w:t>Media del sector (si está disponible).</w:t>
      </w:r>
    </w:p>
    <w:p>
      <w:pPr>
        <w:pStyle w:val="ListBullet"/>
        <w:keepLines w:val="1"/>
        <w:keepNext w:val="1"/>
        <w:widowControl w:val="1"/>
      </w:pPr>
      <w:r>
        <w:br/>
        <w:t>Rango de organizaciones comparables.</w:t>
        <w:br/>
      </w:r>
    </w:p>
    <w:p>
      <w:pPr>
        <w:pStyle w:val="ListBullet"/>
        <w:keepLines w:val="1"/>
        <w:keepNext w:val="1"/>
        <w:widowControl w:val="1"/>
      </w:pPr>
      <w:r>
        <w:br/>
        <w:t>Visualización recomendada:</w:t>
        <w:br/>
      </w:r>
    </w:p>
    <w:p>
      <w:pPr>
        <w:pStyle w:val="ListBullet"/>
        <w:keepLines w:val="1"/>
        <w:widowControl w:val="1"/>
      </w:pPr>
      <w:r>
        <w:t>Gráfico de barra horizontal o velocímetro (gauge) con bandas de color (rojo, ámbar, verde).</w:t>
      </w:r>
    </w:p>
    <w:p>
      <w:r>
        <w:t>Rango de organizaciones comparables.</w:t>
      </w:r>
    </w:p>
    <w:p>
      <w:r>
        <w:t>Visualización recomendada:</w:t>
      </w:r>
    </w:p>
    <w:p>
      <w:pPr>
        <w:pStyle w:val="Heading2"/>
        <w:keepNext/>
        <w:keepLines/>
      </w:pPr>
      <w:r>
        <w:rPr>
          <w:color w:val="0066CC"/>
        </w:rPr>
        <w:t>Diapositiva 5 – Desglose por subíndices OWASP</w:t>
      </w:r>
    </w:p>
    <w:p>
      <w:pPr>
        <w:pStyle w:val="ListBullet"/>
        <w:keepLines w:val="1"/>
        <w:keepNext w:val="1"/>
        <w:widowControl w:val="1"/>
      </w:pPr>
      <w:r>
        <w:t>Mostrar los cuatro subíndices:</w:t>
      </w:r>
    </w:p>
    <w:p>
      <w:pPr>
        <w:pStyle w:val="ListBullet"/>
        <w:keepLines w:val="1"/>
        <w:keepNext w:val="1"/>
        <w:widowControl w:val="1"/>
      </w:pPr>
      <w:r>
        <w:t>IGM-Exposición OWASP (Top 10).</w:t>
      </w:r>
    </w:p>
    <w:p>
      <w:pPr>
        <w:pStyle w:val="ListBullet"/>
        <w:keepLines w:val="1"/>
        <w:keepNext w:val="1"/>
        <w:widowControl w:val="1"/>
      </w:pPr>
      <w:r>
        <w:t>IGM-Madurez de Programa (SAMM).</w:t>
      </w:r>
    </w:p>
    <w:p>
      <w:pPr>
        <w:pStyle w:val="ListBullet"/>
        <w:keepLines w:val="1"/>
        <w:keepNext w:val="1"/>
        <w:widowControl w:val="1"/>
      </w:pPr>
      <w:r>
        <w:t>IGM-Aseguramiento Técnico (ASVS).</w:t>
      </w:r>
    </w:p>
    <w:p>
      <w:pPr>
        <w:pStyle w:val="ListBullet"/>
        <w:keepLines w:val="1"/>
        <w:keepNext w:val="1"/>
        <w:widowControl w:val="1"/>
      </w:pPr>
      <w:r>
        <w:br/>
        <w:t>IGM-Gobernanza y Cultura.</w:t>
        <w:br/>
      </w:r>
    </w:p>
    <w:p>
      <w:pPr>
        <w:pStyle w:val="ListBullet"/>
        <w:keepLines w:val="1"/>
        <w:keepNext w:val="1"/>
        <w:widowControl w:val="1"/>
      </w:pPr>
      <w:r>
        <w:br/>
        <w:t>Visualización recomendada:</w:t>
        <w:br/>
      </w:r>
    </w:p>
    <w:p>
      <w:pPr>
        <w:pStyle w:val="ListBullet"/>
        <w:keepLines w:val="1"/>
        <w:keepNext w:val="1"/>
        <w:widowControl w:val="1"/>
      </w:pPr>
      <w:r>
        <w:br/>
        <w:t>Gráfico de barras agrupadas o radar (spider chart).</w:t>
        <w:br/>
      </w:r>
    </w:p>
    <w:p>
      <w:pPr>
        <w:pStyle w:val="ListBullet"/>
        <w:keepLines w:val="1"/>
        <w:widowControl w:val="1"/>
      </w:pPr>
      <w:r>
        <w:br/>
        <w:t>Comentario breve por subíndice (1 frase por barra).</w:t>
        <w:br/>
      </w:r>
    </w:p>
    <w:p>
      <w:r>
        <w:t>IGM-Gobernanza y Cultura.</w:t>
      </w:r>
    </w:p>
    <w:p>
      <w:r>
        <w:t>Visualización recomendada:</w:t>
      </w:r>
    </w:p>
    <w:p>
      <w:r>
        <w:t>Gráfico de barras agrupadas o radar (spider chart).</w:t>
      </w:r>
    </w:p>
    <w:p>
      <w:r>
        <w:t>Comentario breve por subíndice (1 frase por barra).</w:t>
      </w:r>
    </w:p>
    <w:p>
      <w:pPr>
        <w:pStyle w:val="Heading2"/>
        <w:keepNext/>
        <w:keepLines/>
      </w:pPr>
      <w:r>
        <w:rPr>
          <w:color w:val="0066CC"/>
        </w:rPr>
        <w:t>Diapositiva 6 – OWASP Top 10: exposición y remediación</w:t>
      </w:r>
    </w:p>
    <w:p>
      <w:pPr>
        <w:pStyle w:val="ListBullet"/>
        <w:keepLines w:val="1"/>
        <w:keepNext w:val="1"/>
        <w:widowControl w:val="1"/>
      </w:pPr>
      <w:r>
        <w:t>Destacar:</w:t>
      </w:r>
    </w:p>
    <w:p>
      <w:pPr>
        <w:pStyle w:val="ListBullet"/>
        <w:keepLines w:val="1"/>
        <w:keepNext w:val="1"/>
        <w:widowControl w:val="1"/>
      </w:pPr>
      <w:r>
        <w:t>Categorías OWASP más frecuentes en la organización (por ejemplo, A01, A02, A03).</w:t>
      </w:r>
    </w:p>
    <w:p>
      <w:pPr>
        <w:pStyle w:val="ListBullet"/>
        <w:keepLines w:val="1"/>
        <w:keepNext w:val="1"/>
        <w:widowControl w:val="1"/>
      </w:pPr>
      <w:r>
        <w:t>MTTR de vulnerabilidades asociadas al Top 10.</w:t>
      </w:r>
    </w:p>
    <w:p>
      <w:pPr>
        <w:pStyle w:val="ListBullet"/>
        <w:keepLines w:val="1"/>
        <w:keepNext w:val="1"/>
        <w:widowControl w:val="1"/>
      </w:pPr>
      <w:r>
        <w:br/>
        <w:t>Cobertura de análisis (porcentaje de aplicaciones evaluadas contra Top 10).</w:t>
        <w:br/>
      </w:r>
    </w:p>
    <w:p>
      <w:pPr>
        <w:pStyle w:val="ListBullet"/>
        <w:keepLines w:val="1"/>
        <w:keepNext w:val="1"/>
        <w:widowControl w:val="1"/>
      </w:pPr>
      <w:r>
        <w:br/>
        <w:t>Visualización recomendada:</w:t>
        <w:br/>
      </w:r>
    </w:p>
    <w:p>
      <w:pPr>
        <w:pStyle w:val="ListBullet"/>
        <w:keepLines w:val="1"/>
        <w:keepNext w:val="1"/>
        <w:widowControl w:val="1"/>
      </w:pPr>
      <w:r>
        <w:t>Gráfico de columnas para incidencia por categoría.</w:t>
      </w:r>
    </w:p>
    <w:p>
      <w:pPr>
        <w:pStyle w:val="ListBullet"/>
        <w:keepLines w:val="1"/>
        <w:keepNext w:val="1"/>
        <w:widowControl w:val="1"/>
      </w:pPr>
      <w:r>
        <w:br/>
        <w:t>Gráfico de barras para MTTR por criticidad.</w:t>
        <w:br/>
      </w:r>
    </w:p>
    <w:p>
      <w:pPr>
        <w:pStyle w:val="ListBullet"/>
        <w:keepLines w:val="1"/>
        <w:widowControl w:val="1"/>
      </w:pPr>
      <w:r>
        <w:br/>
        <w:t>Mensaje clave: ¿Dónde están las principales “fugas” de seguridad en términos de vulnerabilidades conocidas?</w:t>
        <w:br/>
      </w:r>
    </w:p>
    <w:p>
      <w:r>
        <w:t>Cobertura de análisis (porcentaje de aplicaciones evaluadas contra Top 10).</w:t>
      </w:r>
    </w:p>
    <w:p>
      <w:r>
        <w:t>Visualización recomendada:</w:t>
      </w:r>
    </w:p>
    <w:p>
      <w:r>
        <w:t>Gráfico de barras para MTTR por criticidad.</w:t>
      </w:r>
    </w:p>
    <w:p>
      <w:r>
        <w:t>Mensaje clave: ¿Dónde están las principales “fugas” de seguridad en términos de vulnerabilidades conocidas?</w:t>
      </w:r>
    </w:p>
    <w:p>
      <w:pPr>
        <w:pStyle w:val="Heading2"/>
        <w:keepNext/>
        <w:keepLines/>
      </w:pPr>
      <w:r>
        <w:rPr>
          <w:color w:val="0066CC"/>
        </w:rPr>
        <w:t>Diapositiva 7 – Madurez OWASP SAMM</w:t>
      </w:r>
    </w:p>
    <w:p>
      <w:pPr>
        <w:pStyle w:val="ListBullet"/>
        <w:keepLines w:val="1"/>
        <w:keepNext w:val="1"/>
        <w:widowControl w:val="1"/>
      </w:pPr>
      <w:r>
        <w:t>Presentar los resultados principales de SAMM:</w:t>
      </w:r>
    </w:p>
    <w:p>
      <w:pPr>
        <w:pStyle w:val="ListBullet"/>
        <w:keepLines w:val="1"/>
        <w:keepNext w:val="1"/>
        <w:widowControl w:val="1"/>
      </w:pPr>
      <w:r>
        <w:t>Nivel medio global.</w:t>
      </w:r>
    </w:p>
    <w:p>
      <w:pPr>
        <w:pStyle w:val="ListBullet"/>
        <w:keepLines w:val="1"/>
        <w:keepNext w:val="1"/>
        <w:widowControl w:val="1"/>
      </w:pPr>
      <w:r>
        <w:t>Niveles por función (Gobernanza, Diseño, Implementación, Verificación, Operaciones).</w:t>
      </w:r>
    </w:p>
    <w:p>
      <w:pPr>
        <w:pStyle w:val="ListBullet"/>
        <w:keepLines w:val="1"/>
        <w:keepNext w:val="1"/>
        <w:widowControl w:val="1"/>
      </w:pPr>
      <w:r>
        <w:br/>
        <w:t>Situación específica de "Strategy and Metrics".</w:t>
        <w:br/>
      </w:r>
    </w:p>
    <w:p>
      <w:pPr>
        <w:pStyle w:val="ListBullet"/>
        <w:keepLines w:val="1"/>
        <w:keepNext w:val="1"/>
        <w:widowControl w:val="1"/>
      </w:pPr>
      <w:r>
        <w:br/>
        <w:t>Visualización recomendada:</w:t>
        <w:br/>
      </w:r>
    </w:p>
    <w:p>
      <w:pPr>
        <w:pStyle w:val="ListBullet"/>
        <w:keepLines w:val="1"/>
        <w:keepNext w:val="1"/>
        <w:widowControl w:val="1"/>
      </w:pPr>
      <w:r>
        <w:br/>
        <w:t>Gráfico de barras o radar.</w:t>
        <w:br/>
      </w:r>
    </w:p>
    <w:p>
      <w:pPr>
        <w:pStyle w:val="ListBullet"/>
        <w:keepLines w:val="1"/>
        <w:widowControl w:val="1"/>
      </w:pPr>
      <w:r>
        <w:br/>
        <w:t>Comentario: cómo se compara la madurez actual con el objetivo deseado (por ejemplo, objetivo nivel 2 en X años).</w:t>
        <w:br/>
      </w:r>
    </w:p>
    <w:p>
      <w:r>
        <w:t>Situación específica de "Strategy and Metrics".</w:t>
      </w:r>
    </w:p>
    <w:p>
      <w:r>
        <w:t>Visualización recomendada:</w:t>
      </w:r>
    </w:p>
    <w:p>
      <w:r>
        <w:t>Gráfico de barras o radar.</w:t>
      </w:r>
    </w:p>
    <w:p>
      <w:r>
        <w:t>Comentario: cómo se compara la madurez actual con el objetivo deseado (por ejemplo, objetivo nivel 2 en X años).</w:t>
      </w:r>
    </w:p>
    <w:p>
      <w:pPr>
        <w:pStyle w:val="Heading2"/>
        <w:keepNext/>
        <w:keepLines/>
      </w:pPr>
      <w:r>
        <w:rPr>
          <w:color w:val="0066CC"/>
        </w:rPr>
        <w:t>Diapositiva 8 – Aseguramiento técnico (ASVS)</w:t>
      </w:r>
    </w:p>
    <w:p>
      <w:pPr>
        <w:pStyle w:val="ListBullet"/>
        <w:keepLines w:val="1"/>
        <w:keepNext w:val="1"/>
        <w:widowControl w:val="1"/>
      </w:pPr>
      <w:r>
        <w:t>Mostrar:</w:t>
      </w:r>
    </w:p>
    <w:p>
      <w:pPr>
        <w:pStyle w:val="ListBullet"/>
        <w:keepLines w:val="1"/>
        <w:keepNext w:val="1"/>
        <w:widowControl w:val="1"/>
      </w:pPr>
      <w:r>
        <w:t>Porcentaje de aplicaciones críticas con nivel ASVS ≥ 2.</w:t>
      </w:r>
    </w:p>
    <w:p>
      <w:pPr>
        <w:pStyle w:val="ListBullet"/>
        <w:keepLines w:val="1"/>
        <w:keepNext w:val="1"/>
        <w:widowControl w:val="1"/>
      </w:pPr>
      <w:r>
        <w:t>Distribución de niveles ASVS por criticidad ENS/NIS2.</w:t>
      </w:r>
    </w:p>
    <w:p>
      <w:pPr>
        <w:pStyle w:val="ListBullet"/>
        <w:keepLines w:val="1"/>
        <w:keepNext w:val="1"/>
        <w:widowControl w:val="1"/>
      </w:pPr>
      <w:r>
        <w:br/>
        <w:t>Cobertura de pruebas automatizadas vs requisitos ASVS.</w:t>
        <w:br/>
      </w:r>
    </w:p>
    <w:p>
      <w:pPr>
        <w:pStyle w:val="ListBullet"/>
        <w:keepLines w:val="1"/>
        <w:keepNext w:val="1"/>
        <w:widowControl w:val="1"/>
      </w:pPr>
      <w:r>
        <w:br/>
        <w:t>Visualizaciones posibles:</w:t>
        <w:br/>
      </w:r>
    </w:p>
    <w:p>
      <w:pPr>
        <w:pStyle w:val="ListBullet"/>
        <w:keepLines w:val="1"/>
        <w:keepNext w:val="1"/>
        <w:widowControl w:val="1"/>
      </w:pPr>
      <w:r>
        <w:t>Gráfico de barras apiladas (criticidad vs nivel ASVS).</w:t>
      </w:r>
    </w:p>
    <w:p>
      <w:pPr>
        <w:pStyle w:val="ListBullet"/>
        <w:keepLines w:val="1"/>
        <w:keepNext w:val="1"/>
        <w:widowControl w:val="1"/>
      </w:pPr>
      <w:r>
        <w:br/>
        <w:t>Pie chart para cobertura de pruebas.</w:t>
        <w:br/>
      </w:r>
    </w:p>
    <w:p>
      <w:pPr>
        <w:pStyle w:val="ListBullet"/>
        <w:keepLines w:val="1"/>
        <w:widowControl w:val="1"/>
      </w:pPr>
      <w:r>
        <w:br/>
        <w:t>Mensaje clave: ¿está la verificación a la altura de la criticidad de los servicios?</w:t>
        <w:br/>
      </w:r>
    </w:p>
    <w:p>
      <w:r>
        <w:t>Cobertura de pruebas automatizadas vs requisitos ASVS.</w:t>
      </w:r>
    </w:p>
    <w:p>
      <w:r>
        <w:t>Visualizaciones posibles:</w:t>
      </w:r>
    </w:p>
    <w:p>
      <w:r>
        <w:t>Pie chart para cobertura de pruebas.</w:t>
      </w:r>
    </w:p>
    <w:p>
      <w:r>
        <w:t>Mensaje clave: ¿está la verificación a la altura de la criticidad de los servicios?</w:t>
      </w:r>
    </w:p>
    <w:p>
      <w:pPr>
        <w:pStyle w:val="Heading2"/>
        <w:keepNext/>
        <w:keepLines/>
      </w:pPr>
      <w:r>
        <w:rPr>
          <w:color w:val="0066CC"/>
        </w:rPr>
        <w:t>Diapositiva 9 – Gestión del riesgo y rol de la alta dirección</w:t>
      </w:r>
    </w:p>
    <w:p>
      <w:pPr>
        <w:pStyle w:val="ListBullet"/>
        <w:keepLines w:val="1"/>
        <w:keepNext w:val="1"/>
        <w:widowControl w:val="1"/>
      </w:pPr>
      <w:r>
        <w:t>Elementos a destacar:</w:t>
      </w:r>
    </w:p>
    <w:p>
      <w:pPr>
        <w:pStyle w:val="ListBullet"/>
        <w:keepLines w:val="1"/>
        <w:keepNext w:val="1"/>
        <w:widowControl w:val="1"/>
      </w:pPr>
      <w:r>
        <w:t>Uso (o no) de la Metodología de Rating de Riesgo de OWASP y otros marcos.</w:t>
      </w:r>
    </w:p>
    <w:p>
      <w:pPr>
        <w:pStyle w:val="ListBullet"/>
        <w:keepLines w:val="1"/>
        <w:keepNext w:val="1"/>
        <w:widowControl w:val="1"/>
      </w:pPr>
      <w:r>
        <w:t>Forma de clasificar el riesgo (numérica, cualitativa, ad hoc).</w:t>
      </w:r>
    </w:p>
    <w:p>
      <w:pPr>
        <w:pStyle w:val="ListBullet"/>
        <w:keepLines w:val="1"/>
        <w:keepNext w:val="1"/>
        <w:widowControl w:val="1"/>
      </w:pPr>
      <w:r>
        <w:br/>
        <w:t>Tiempo medio desde detección técnica a decisión de riesgo.</w:t>
        <w:br/>
      </w:r>
    </w:p>
    <w:p>
      <w:pPr>
        <w:pStyle w:val="ListBullet"/>
        <w:keepLines w:val="1"/>
        <w:keepNext w:val="1"/>
        <w:widowControl w:val="1"/>
      </w:pPr>
      <w:r>
        <w:br/>
        <w:t>Visualización sugerida:</w:t>
        <w:br/>
      </w:r>
    </w:p>
    <w:p>
      <w:pPr>
        <w:pStyle w:val="ListBullet"/>
        <w:keepLines w:val="1"/>
        <w:keepNext w:val="1"/>
        <w:widowControl w:val="1"/>
      </w:pPr>
      <w:r>
        <w:t>Línea de tiempo (días) desde detección hasta decisión.</w:t>
      </w:r>
    </w:p>
    <w:p>
      <w:pPr>
        <w:pStyle w:val="ListBullet"/>
        <w:keepLines w:val="1"/>
        <w:widowControl w:val="1"/>
      </w:pPr>
      <w:r>
        <w:t>Tabla simplificada con niveles de madurez en gobernanza.</w:t>
      </w:r>
    </w:p>
    <w:p>
      <w:r>
        <w:t>Tiempo medio desde detección técnica a decisión de riesgo.</w:t>
      </w:r>
    </w:p>
    <w:p>
      <w:r>
        <w:t>Visualización sugerida:</w:t>
      </w:r>
    </w:p>
    <w:p>
      <w:pPr>
        <w:pStyle w:val="Heading2"/>
        <w:keepNext/>
        <w:keepLines/>
      </w:pPr>
      <w:r>
        <w:rPr>
          <w:color w:val="0066CC"/>
        </w:rPr>
        <w:t>Diapositiva 10 – Cultura, formación y cadena de suministro</w:t>
      </w:r>
    </w:p>
    <w:p>
      <w:pPr>
        <w:pStyle w:val="ListBullet"/>
        <w:keepLines w:val="1"/>
        <w:keepNext w:val="1"/>
        <w:widowControl w:val="1"/>
      </w:pPr>
      <w:r>
        <w:t>Incluir:</w:t>
      </w:r>
    </w:p>
    <w:p>
      <w:pPr>
        <w:pStyle w:val="ListBullet"/>
        <w:keepLines w:val="1"/>
        <w:keepNext w:val="1"/>
        <w:widowControl w:val="1"/>
      </w:pPr>
      <w:r>
        <w:t>Porcentaje de personal técnico formado en OWASP.</w:t>
      </w:r>
    </w:p>
    <w:p>
      <w:pPr>
        <w:pStyle w:val="ListBullet"/>
        <w:keepLines w:val="1"/>
        <w:keepNext w:val="1"/>
        <w:widowControl w:val="1"/>
      </w:pPr>
      <w:r>
        <w:t>Existencia de security champions.</w:t>
      </w:r>
    </w:p>
    <w:p>
      <w:pPr>
        <w:pStyle w:val="ListBullet"/>
        <w:keepLines w:val="1"/>
        <w:keepNext w:val="1"/>
        <w:widowControl w:val="1"/>
      </w:pPr>
      <w:r>
        <w:t>Estado de la cultura de reporte de vulnerabilidades.</w:t>
      </w:r>
    </w:p>
    <w:p>
      <w:pPr>
        <w:pStyle w:val="ListBullet"/>
        <w:keepLines w:val="1"/>
        <w:keepNext w:val="1"/>
        <w:widowControl w:val="1"/>
      </w:pPr>
      <w:r>
        <w:br/>
        <w:t>Situación de la gestión de proveedores (inventario, evaluación, cláusulas OWASP/ASVS).</w:t>
        <w:br/>
      </w:r>
    </w:p>
    <w:p>
      <w:pPr>
        <w:pStyle w:val="ListBullet"/>
        <w:keepLines w:val="1"/>
        <w:keepNext w:val="1"/>
        <w:widowControl w:val="1"/>
      </w:pPr>
      <w:r>
        <w:br/>
        <w:t>Visualizaciones:</w:t>
        <w:br/>
      </w:r>
    </w:p>
    <w:p>
      <w:pPr>
        <w:pStyle w:val="ListBullet"/>
        <w:keepLines w:val="1"/>
        <w:keepNext w:val="1"/>
        <w:widowControl w:val="1"/>
      </w:pPr>
      <w:r>
        <w:t>Barras para formación.</w:t>
      </w:r>
    </w:p>
    <w:p>
      <w:pPr>
        <w:pStyle w:val="ListBullet"/>
        <w:keepLines w:val="1"/>
        <w:widowControl w:val="1"/>
      </w:pPr>
      <w:r>
        <w:t>Indicadores tipo semáforo para champions, reporte y cadena de suministro.</w:t>
      </w:r>
    </w:p>
    <w:p>
      <w:r>
        <w:t>Situación de la gestión de proveedores (inventario, evaluación, cláusulas OWASP/ASVS).</w:t>
      </w:r>
    </w:p>
    <w:p>
      <w:r>
        <w:t>Visualizaciones:</w:t>
      </w:r>
    </w:p>
    <w:p>
      <w:pPr>
        <w:pStyle w:val="Heading2"/>
        <w:keepNext/>
        <w:keepLines/>
      </w:pPr>
      <w:r>
        <w:rPr>
          <w:color w:val="0066CC"/>
        </w:rPr>
        <w:t>Diapositiva 11 – Alineamiento con NIS2 y ENS</w:t>
      </w:r>
    </w:p>
    <w:p>
      <w:pPr>
        <w:pStyle w:val="ListBullet"/>
        <w:keepLines w:val="1"/>
        <w:keepNext w:val="1"/>
        <w:widowControl w:val="1"/>
      </w:pPr>
      <w:r>
        <w:t>Tabla sintética que relacione:</w:t>
      </w:r>
    </w:p>
    <w:p>
      <w:pPr>
        <w:pStyle w:val="ListBullet"/>
        <w:keepLines w:val="1"/>
        <w:keepNext w:val="1"/>
        <w:widowControl w:val="1"/>
      </w:pPr>
      <w:r>
        <w:t>Principales hallazgos OWASP (por subíndice).</w:t>
      </w:r>
    </w:p>
    <w:p>
      <w:pPr>
        <w:pStyle w:val="ListBullet"/>
        <w:keepLines w:val="1"/>
        <w:keepNext w:val="1"/>
        <w:widowControl w:val="1"/>
      </w:pPr>
      <w:r>
        <w:t>Artículos o ámbitos clave de NIS2 afectados (gestión de riesgos, medidas técnicas, gobernanza, notificación).</w:t>
      </w:r>
    </w:p>
    <w:p>
      <w:pPr>
        <w:pStyle w:val="ListBullet"/>
        <w:keepLines w:val="1"/>
        <w:keepNext w:val="1"/>
        <w:widowControl w:val="1"/>
      </w:pPr>
      <w:r>
        <w:br/>
        <w:t>Dominios ENS relacionados.</w:t>
        <w:br/>
      </w:r>
    </w:p>
    <w:p>
      <w:pPr>
        <w:pStyle w:val="ListBullet"/>
        <w:keepLines w:val="1"/>
        <w:widowControl w:val="1"/>
      </w:pPr>
      <w:r>
        <w:br/>
        <w:t>Mensaje: qué implicaciones regulatorias tienen los resultados, sin entrar en jerga excesivamente técnica.</w:t>
        <w:br/>
      </w:r>
    </w:p>
    <w:p>
      <w:r>
        <w:t>Dominios ENS relacionados.</w:t>
      </w:r>
    </w:p>
    <w:p>
      <w:r>
        <w:t>Mensaje: qué implicaciones regulatorias tienen los resultados, sin entrar en jerga excesivamente técnica.</w:t>
      </w:r>
    </w:p>
    <w:p>
      <w:pPr>
        <w:pStyle w:val="Heading2"/>
        <w:keepNext/>
        <w:keepLines/>
      </w:pPr>
      <w:r>
        <w:rPr>
          <w:color w:val="0066CC"/>
        </w:rPr>
        <w:t>Diapositiva 12 – Priorización de acciones</w:t>
      </w:r>
    </w:p>
    <w:p>
      <w:pPr>
        <w:pStyle w:val="ListBullet"/>
        <w:keepLines w:val="1"/>
        <w:keepNext w:val="1"/>
        <w:widowControl w:val="1"/>
      </w:pPr>
      <w:r>
        <w:t>Listar de 5 a 8 acciones prioritarias, clasificadas por horizonte temporal:</w:t>
      </w:r>
    </w:p>
    <w:p>
      <w:pPr>
        <w:pStyle w:val="ListBullet"/>
        <w:keepLines w:val="1"/>
        <w:keepNext w:val="1"/>
        <w:widowControl w:val="1"/>
      </w:pPr>
      <w:r>
        <w:t>Corto plazo (0–6 meses): “apagar fuegos con método”.</w:t>
      </w:r>
    </w:p>
    <w:p>
      <w:pPr>
        <w:pStyle w:val="ListBullet"/>
        <w:keepLines w:val="1"/>
        <w:keepNext w:val="1"/>
        <w:widowControl w:val="1"/>
      </w:pPr>
      <w:r>
        <w:t>Medio plazo (6–18 meses): consolidar procesos, reforzar ASVS y SAMM.</w:t>
      </w:r>
    </w:p>
    <w:p>
      <w:pPr>
        <w:pStyle w:val="ListBullet"/>
        <w:keepLines w:val="1"/>
        <w:keepNext w:val="1"/>
        <w:widowControl w:val="1"/>
      </w:pPr>
      <w:r>
        <w:br/>
        <w:t>Largo plazo (&gt;18 meses): transformación cultural y gobernanza avanzada.</w:t>
        <w:br/>
      </w:r>
    </w:p>
    <w:p>
      <w:pPr>
        <w:pStyle w:val="ListBullet"/>
        <w:keepLines w:val="1"/>
        <w:keepNext w:val="1"/>
        <w:widowControl w:val="1"/>
      </w:pPr>
      <w:r>
        <w:br/>
        <w:t>Cada acción con:</w:t>
        <w:br/>
      </w:r>
    </w:p>
    <w:p>
      <w:pPr>
        <w:pStyle w:val="ListBullet"/>
        <w:keepLines w:val="1"/>
        <w:keepNext w:val="1"/>
        <w:widowControl w:val="1"/>
      </w:pPr>
      <w:r>
        <w:t>Impacto esperado (alto/medio/bajo).</w:t>
      </w:r>
    </w:p>
    <w:p>
      <w:pPr>
        <w:pStyle w:val="ListBullet"/>
        <w:keepLines w:val="1"/>
        <w:widowControl w:val="1"/>
      </w:pPr>
      <w:r>
        <w:t>Esfuerzo estimado (alto/medio/bajo).</w:t>
      </w:r>
    </w:p>
    <w:p>
      <w:r>
        <w:t>Largo plazo (&gt;18 meses): transformación cultural y gobernanza avanzada.</w:t>
      </w:r>
    </w:p>
    <w:p>
      <w:r>
        <w:t>Cada acción con:</w:t>
      </w:r>
    </w:p>
    <w:p>
      <w:pPr>
        <w:pStyle w:val="Heading2"/>
        <w:keepNext/>
        <w:keepLines/>
      </w:pPr>
      <w:r>
        <w:rPr>
          <w:color w:val="0066CC"/>
        </w:rPr>
        <w:t>Diapositiva 13 – Indicadores de seguimiento</w:t>
      </w:r>
    </w:p>
    <w:p>
      <w:pPr>
        <w:pStyle w:val="ListBullet"/>
        <w:keepLines w:val="1"/>
        <w:keepNext w:val="1"/>
        <w:widowControl w:val="1"/>
      </w:pPr>
      <w:r>
        <w:t>Propuesta de 6–10 KPIs/KRIs derivados del IGM y de los subíndices, por ejemplo:</w:t>
      </w:r>
    </w:p>
    <w:p>
      <w:pPr>
        <w:pStyle w:val="ListBullet"/>
        <w:keepLines w:val="1"/>
        <w:keepNext w:val="1"/>
        <w:widowControl w:val="1"/>
      </w:pPr>
      <w:r>
        <w:t>% aplicaciones críticas en ASVS Nivel 2 o 3.</w:t>
      </w:r>
    </w:p>
    <w:p>
      <w:pPr>
        <w:pStyle w:val="ListBullet"/>
        <w:keepLines w:val="1"/>
        <w:keepNext w:val="1"/>
        <w:widowControl w:val="1"/>
      </w:pPr>
      <w:r>
        <w:t>MTTR de vulnerabilidades A01–A03.</w:t>
      </w:r>
    </w:p>
    <w:p>
      <w:pPr>
        <w:pStyle w:val="ListBullet"/>
        <w:keepLines w:val="1"/>
        <w:keepNext w:val="1"/>
        <w:widowControl w:val="1"/>
      </w:pPr>
      <w:r>
        <w:t>Nivel SAMM en "Strategy and Metrics".</w:t>
      </w:r>
    </w:p>
    <w:p>
      <w:pPr>
        <w:pStyle w:val="ListBullet"/>
        <w:keepLines w:val="1"/>
        <w:keepNext w:val="1"/>
        <w:widowControl w:val="1"/>
      </w:pPr>
      <w:r>
        <w:t>% de personal técnico formado en OWASP.</w:t>
      </w:r>
    </w:p>
    <w:p>
      <w:pPr>
        <w:pStyle w:val="ListBullet"/>
        <w:keepLines w:val="1"/>
        <w:keepNext w:val="1"/>
        <w:widowControl w:val="1"/>
      </w:pPr>
      <w:r>
        <w:br/>
        <w:t>% de proveedores críticos con evaluación de seguridad actualizada.</w:t>
        <w:br/>
      </w:r>
    </w:p>
    <w:p>
      <w:pPr>
        <w:pStyle w:val="ListBullet"/>
        <w:keepLines w:val="1"/>
        <w:widowControl w:val="1"/>
      </w:pPr>
      <w:r>
        <w:br/>
        <w:t>Indicar frecuencia de actualización (mensual, trimestral, anual).</w:t>
        <w:br/>
      </w:r>
    </w:p>
    <w:p>
      <w:r>
        <w:t>% de proveedores críticos con evaluación de seguridad actualizada.</w:t>
      </w:r>
    </w:p>
    <w:p>
      <w:r>
        <w:t>Indicar frecuencia de actualización (mensual, trimestral, anual).</w:t>
      </w:r>
    </w:p>
    <w:p>
      <w:pPr>
        <w:pStyle w:val="Heading2"/>
        <w:keepNext/>
        <w:keepLines/>
      </w:pPr>
      <w:r>
        <w:rPr>
          <w:color w:val="0066CC"/>
        </w:rPr>
        <w:t>Diapositiva 14 – Riesgos de no actuar</w:t>
      </w:r>
    </w:p>
    <w:p>
      <w:pPr>
        <w:pStyle w:val="ListBullet"/>
        <w:keepLines w:val="1"/>
        <w:keepNext w:val="1"/>
        <w:widowControl w:val="1"/>
      </w:pPr>
      <w:r>
        <w:t>Explicar, en 3–4 viñetas claras y sobrias, las consecuencias de mantener el statu quo, por ejemplo:</w:t>
      </w:r>
    </w:p>
    <w:p>
      <w:pPr>
        <w:pStyle w:val="ListBullet"/>
        <w:keepLines w:val="1"/>
        <w:keepNext w:val="1"/>
        <w:widowControl w:val="1"/>
      </w:pPr>
      <w:r>
        <w:t>Mayor probabilidad de incidentes graves (ransomware, brechas de datos).</w:t>
      </w:r>
    </w:p>
    <w:p>
      <w:pPr>
        <w:pStyle w:val="ListBullet"/>
        <w:keepLines w:val="1"/>
        <w:keepNext w:val="1"/>
        <w:widowControl w:val="1"/>
      </w:pPr>
      <w:r>
        <w:t>Riesgo de incumplimiento de NIS2/ENS y potenciales sanciones.</w:t>
      </w:r>
    </w:p>
    <w:p>
      <w:pPr>
        <w:pStyle w:val="ListBullet"/>
        <w:keepLines w:val="1"/>
        <w:widowControl w:val="1"/>
      </w:pPr>
      <w:r>
        <w:t>Pérdida de confianza de clientes, ciudadanos o socios.</w:t>
      </w:r>
    </w:p>
    <w:p>
      <w:r>
        <w:t>El objetivo es conectar métricas técnicas con el apetito de riesgo de negocio.</w:t>
      </w:r>
    </w:p>
    <w:p>
      <w:pPr>
        <w:pStyle w:val="Heading2"/>
        <w:keepNext/>
        <w:keepLines/>
      </w:pPr>
      <w:r>
        <w:rPr>
          <w:color w:val="0066CC"/>
        </w:rPr>
        <w:t>Diapositiva 15 – Cierre y llamada a la acción</w:t>
      </w:r>
    </w:p>
    <w:p>
      <w:pPr>
        <w:pStyle w:val="ListBullet"/>
        <w:keepLines w:val="1"/>
        <w:keepNext w:val="1"/>
        <w:widowControl w:val="1"/>
      </w:pPr>
      <w:r>
        <w:t>Resumir en una frase la idea central (por ejemplo: "Estamos en X; necesitamos llegar a Y, y el camino pasa por estas tres decisiones").</w:t>
      </w:r>
    </w:p>
    <w:p>
      <w:pPr>
        <w:pStyle w:val="ListBullet"/>
        <w:keepLines w:val="1"/>
        <w:keepNext w:val="1"/>
        <w:widowControl w:val="1"/>
      </w:pPr>
      <w:r>
        <w:t>Reforzar la necesidad de apoyo explícito de la alta dirección.</w:t>
      </w:r>
    </w:p>
    <w:p>
      <w:pPr>
        <w:pStyle w:val="ListBullet"/>
        <w:keepLines w:val="1"/>
        <w:widowControl w:val="1"/>
      </w:pPr>
      <w:r>
        <w:t>Dejar claro el siguiente paso concreto (por ejemplo, aprobación de un programa OWASP–NIS2, constitución de comité, financiación de proyectos clave).</w:t>
      </w:r>
    </w:p>
    <w:p>
      <w:r>
        <w:t>Esta plantilla pretende equilibrar rigor y claridad: suficiente profundidad para satisfacer a quienes leen entre líneas, y suficiente síntesis para quienes miran el reloj.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