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OWASP 2025 – España</w:t>
      </w:r>
    </w:p>
    <w:p>
      <w:r>
        <w:t>Versión 1.0 – Borrador para uso piloto y adaptación institucional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complementa el "Kit de Encuesta OWASP 2025 – España" incorporando explícitamente:</w:t>
      </w:r>
    </w:p>
    <w:p>
      <w:pPr>
        <w:pStyle w:val="ListBullet"/>
        <w:keepLines w:val="1"/>
        <w:keepNext w:val="1"/>
        <w:widowControl w:val="1"/>
      </w:pPr>
      <w:r>
        <w:t>El enfoque GQM (Goal–Question–Metric) para asegurar que cada indicador se deriva de objetivos claros y preguntas bien formuladas.[web:87][web:95][web:98]</w:t>
      </w:r>
    </w:p>
    <w:p>
      <w:pPr>
        <w:pStyle w:val="ListBullet"/>
        <w:keepLines w:val="1"/>
        <w:widowControl w:val="1"/>
      </w:pPr>
      <w:r>
        <w:t>La meta-métrica PRAGMATIC para evaluar la calidad y utilidad de cada indicador según nueve criterios (Predictivo, Relevante, Accionable, Genuino, Significativo, Preciso, Oportuno, Independiente y Rentable).[web:88][web:91][web:94][web:96]</w:t>
      </w:r>
    </w:p>
    <w:p>
      <w:r>
        <w:t>El foco son los indicadores M1–M15 definidos a partir de OWASP Top 10:2025, SAMM, ASVS 5.0 y la Metodología de Rating de Riesgo, con vocación de servir como KPIs/KRIs en el contexto ENS/NIS2 en España.[web:2][web:21][web:24][web:60][web:68][web:72][web:97][web:100]</w:t>
      </w:r>
    </w:p>
    <w:p>
      <w:pPr>
        <w:pStyle w:val="Heading2"/>
        <w:keepNext/>
        <w:keepLines/>
      </w:pPr>
      <w:r>
        <w:rPr>
          <w:color w:val="0066CC"/>
        </w:rPr>
        <w:t>2. Contenido del kit</w:t>
      </w:r>
    </w:p>
    <w:p>
      <w:r>
        <w:t>El kit incluye los siguientes archivos en formato Markdown:</w:t>
      </w:r>
    </w:p>
    <w:p>
      <w:pPr>
        <w:pStyle w:val="ListNumber"/>
        <w:keepLines w:val="1"/>
        <w:keepNext w:val="1"/>
        <w:widowControl w:val="1"/>
      </w:pPr>
      <w:r>
        <w:br/>
        <w:t>marco-gqm-pragmatic.md</w:t>
        <w:br/>
        <w:t xml:space="preserve">   Marco conceptual que explica cómo combinar GQM y PRAGMATIC sobre los indicadores OWASP M1–M15.</w:t>
        <w:br/>
      </w:r>
    </w:p>
    <w:p>
      <w:pPr>
        <w:pStyle w:val="ListNumber"/>
        <w:keepLines w:val="1"/>
        <w:keepNext w:val="1"/>
        <w:widowControl w:val="1"/>
      </w:pPr>
      <w:r>
        <w:br/>
        <w:t>matriz-pragmatic.md</w:t>
        <w:br/>
        <w:t xml:space="preserve">   Matriz de evaluación PRAGMATIC completa con puntuaciones (0–5) y comentarios sintéticos para cada indicador.</w:t>
        <w:br/>
      </w:r>
    </w:p>
    <w:p>
      <w:pPr>
        <w:pStyle w:val="ListNumber"/>
        <w:keepLines w:val="1"/>
        <w:keepNext w:val="1"/>
        <w:widowControl w:val="1"/>
      </w:pPr>
      <w:r>
        <w:br/>
        <w:t>narrativa-gqm-pragmatic.md</w:t>
        <w:br/>
        <w:t xml:space="preserve">   Narrativa explicativa para contextualizar el enfoque ante comités, grupos de trabajo o como introducción de documentos.</w:t>
        <w:br/>
      </w:r>
    </w:p>
    <w:p>
      <w:pPr>
        <w:pStyle w:val="ListNumber"/>
        <w:keepLines w:val="1"/>
        <w:keepNext w:val="1"/>
        <w:widowControl w:val="1"/>
      </w:pPr>
      <w:r>
        <w:br/>
        <w:t>mapeo-normativo-gqm.md</w:t>
        <w:br/>
        <w:t xml:space="preserve">   Tabla que mapea cada indicador M1–M15 a objetivos GQM, dominios OWASP y ámbitos NIS2/ENS relevantes.</w:t>
        <w:br/>
      </w:r>
    </w:p>
    <w:p>
      <w:pPr>
        <w:pStyle w:val="ListNumber"/>
        <w:keepLines w:val="1"/>
        <w:keepNext w:val="1"/>
        <w:widowControl w:val="1"/>
      </w:pPr>
      <w:r>
        <w:br/>
        <w:t>plantilla-igm-roi-gqm.md</w:t>
        <w:br/>
        <w:t xml:space="preserve">   Especificación de una plantilla Excel que integra los indicadores M1–M15, las puntuaciones PRAGMATIC, el cálculo de subíndices y del Índice Global de Madurez (IGM) y un módulo de ROI.</w:t>
        <w:br/>
      </w:r>
    </w:p>
    <w:p>
      <w:pPr>
        <w:pStyle w:val="ListNumber"/>
        <w:keepLines w:val="1"/>
        <w:widowControl w:val="1"/>
      </w:pPr>
      <w:r>
        <w:br/>
        <w:t>ppt-ejecutivo-gqm.md</w:t>
        <w:br/>
        <w:t xml:space="preserve">   Estructura de una presentación ejecutiva para explicar el marco GQM + PRAGMATIC + OWASP y los resultados asociados.</w:t>
        <w:br/>
      </w:r>
    </w:p>
    <w:p>
      <w:r>
        <w:rPr>
          <w:rFonts w:ascii="Courier New" w:hAnsi="Courier New"/>
          <w:sz w:val="18"/>
        </w:rPr>
        <w:t>marco-gqm-pragmatic.md</w:t>
      </w:r>
      <w:r/>
      <w:r>
        <w:br/>
        <w:t xml:space="preserve">   Marco conceptual que explica cómo combinar GQM y PRAGMATIC sobre los indicadores OWASP M1–M15.</w:t>
      </w:r>
    </w:p>
    <w:p>
      <w:r>
        <w:rPr>
          <w:rFonts w:ascii="Courier New" w:hAnsi="Courier New"/>
          <w:sz w:val="18"/>
        </w:rPr>
        <w:t>matriz-pragmatic.md</w:t>
      </w:r>
      <w:r/>
      <w:r>
        <w:br/>
        <w:t xml:space="preserve">   Matriz de evaluación PRAGMATIC completa con puntuaciones (0–5) y comentarios sintéticos para cada indicador.</w:t>
      </w:r>
    </w:p>
    <w:p>
      <w:r>
        <w:rPr>
          <w:rFonts w:ascii="Courier New" w:hAnsi="Courier New"/>
          <w:sz w:val="18"/>
        </w:rPr>
        <w:t>narrativa-gqm-pragmatic.md</w:t>
      </w:r>
      <w:r/>
      <w:r>
        <w:br/>
        <w:t xml:space="preserve">   Narrativa explicativa para contextualizar el enfoque ante comités, grupos de trabajo o como introducción de documentos.</w:t>
      </w:r>
    </w:p>
    <w:p>
      <w:r>
        <w:rPr>
          <w:rFonts w:ascii="Courier New" w:hAnsi="Courier New"/>
          <w:sz w:val="18"/>
        </w:rPr>
        <w:t>mapeo-normativo-gqm.md</w:t>
      </w:r>
      <w:r/>
      <w:r>
        <w:br/>
        <w:t xml:space="preserve">   Tabla que mapea cada indicador M1–M15 a objetivos GQM, dominios OWASP y ámbitos NIS2/ENS relevantes.</w:t>
      </w:r>
    </w:p>
    <w:p>
      <w:r>
        <w:rPr>
          <w:rFonts w:ascii="Courier New" w:hAnsi="Courier New"/>
          <w:sz w:val="18"/>
        </w:rPr>
        <w:t>plantilla-igm-roi-gqm.md</w:t>
      </w:r>
      <w:r/>
      <w:r>
        <w:br/>
        <w:t xml:space="preserve">   Especificación de una plantilla Excel que integra los indicadores M1–M15, las puntuaciones PRAGMATIC, el cálculo de subíndices y del Índice Global de Madurez (IGM) y un módulo de ROI.</w:t>
      </w:r>
    </w:p>
    <w:p>
      <w:r>
        <w:rPr>
          <w:rFonts w:ascii="Courier New" w:hAnsi="Courier New"/>
          <w:sz w:val="18"/>
        </w:rPr>
        <w:t>ppt-ejecutivo-gqm.md</w:t>
      </w:r>
      <w:r/>
      <w:r>
        <w:br/>
        <w:t xml:space="preserve">   Estructura de una presentación ejecutiva para explicar el marco GQM + PRAGMATIC + OWASP y los resultados asociados.</w:t>
      </w:r>
    </w:p>
    <w:p>
      <w:pPr>
        <w:pStyle w:val="Heading2"/>
        <w:keepNext/>
        <w:keepLines/>
      </w:pPr>
      <w:r>
        <w:rPr>
          <w:color w:val="0066CC"/>
        </w:rPr>
        <w:t>3. Cómo encaja con el Kit de Encuesta OWASP</w:t>
      </w:r>
    </w:p>
    <w:p>
      <w:r>
        <w:t xml:space="preserve">Este kit </w:t>
      </w:r>
      <w:r>
        <w:rPr>
          <w:b/>
        </w:rPr>
        <w:t>no sustituye</w:t>
      </w:r>
      <w:r>
        <w:t xml:space="preserve"> al kit de encuesta, sino que lo refuerza:</w:t>
      </w:r>
    </w:p>
    <w:p>
      <w:pPr>
        <w:pStyle w:val="ListBullet"/>
        <w:keepLines w:val="1"/>
        <w:keepNext w:val="1"/>
        <w:widowControl w:val="1"/>
      </w:pPr>
      <w:r>
        <w:t>El modelo de encuesta sigue siendo la fuente primaria de datos (respuestas de organizaciones sobre prácticas y resultados).</w:t>
      </w:r>
    </w:p>
    <w:p>
      <w:pPr>
        <w:pStyle w:val="ListBullet"/>
        <w:keepLines w:val="1"/>
        <w:keepNext w:val="1"/>
        <w:widowControl w:val="1"/>
      </w:pPr>
      <w:r>
        <w:t>El presente kit se ocupa de:</w:t>
      </w:r>
    </w:p>
    <w:p>
      <w:pPr>
        <w:pStyle w:val="ListBullet"/>
        <w:keepLines w:val="1"/>
        <w:keepNext w:val="1"/>
        <w:widowControl w:val="1"/>
      </w:pPr>
      <w:r>
        <w:t>Estructurar las métricas derivadas (M1–M15) con GQM.</w:t>
      </w:r>
    </w:p>
    <w:p>
      <w:pPr>
        <w:pStyle w:val="ListBullet"/>
        <w:keepLines w:val="1"/>
        <w:keepNext w:val="1"/>
        <w:widowControl w:val="1"/>
      </w:pPr>
      <w:r>
        <w:t>Evaluar la calidad de esas métricas con PRAGMATIC.</w:t>
      </w:r>
    </w:p>
    <w:p>
      <w:pPr>
        <w:pStyle w:val="ListBullet"/>
        <w:keepLines w:val="1"/>
        <w:widowControl w:val="1"/>
      </w:pPr>
      <w:r>
        <w:t>Proporcionar herramientas para su cálculo, interpretación y comunicación.</w:t>
      </w:r>
    </w:p>
    <w:p>
      <w:r>
        <w:t>En la práctica, el flujo recomendado es:</w:t>
      </w:r>
    </w:p>
    <w:p>
      <w:pPr>
        <w:pStyle w:val="ListNumber"/>
        <w:keepLines w:val="1"/>
        <w:keepNext w:val="1"/>
        <w:widowControl w:val="1"/>
      </w:pPr>
      <w:r>
        <w:t>Ejecutar la encuesta OWASP y codificar resultados.</w:t>
      </w:r>
    </w:p>
    <w:p>
      <w:pPr>
        <w:pStyle w:val="ListNumber"/>
        <w:keepLines w:val="1"/>
        <w:keepNext w:val="1"/>
        <w:widowControl w:val="1"/>
      </w:pPr>
      <w:r>
        <w:t>Traducir respuestas a métricas M1–M15 (normalizadas 0–100).</w:t>
      </w:r>
    </w:p>
    <w:p>
      <w:pPr>
        <w:pStyle w:val="ListNumber"/>
        <w:keepLines w:val="1"/>
        <w:keepNext w:val="1"/>
        <w:widowControl w:val="1"/>
      </w:pPr>
      <w:r>
        <w:t>Aplicar el marco GQM + PRAGMATIC para seleccionar y ponderar métricas.</w:t>
      </w:r>
    </w:p>
    <w:p>
      <w:pPr>
        <w:pStyle w:val="ListNumber"/>
        <w:keepLines w:val="1"/>
        <w:keepNext w:val="1"/>
        <w:widowControl w:val="1"/>
      </w:pPr>
      <w:r>
        <w:t>Calcular subíndices, IGM y, opcionalmente, ROI.</w:t>
      </w:r>
    </w:p>
    <w:p>
      <w:pPr>
        <w:pStyle w:val="ListNumber"/>
        <w:keepLines w:val="1"/>
        <w:widowControl w:val="1"/>
      </w:pPr>
      <w:r>
        <w:t>Presentar resultados con la plantilla ejecutiva.</w:t>
      </w:r>
    </w:p>
    <w:p>
      <w:pPr>
        <w:pStyle w:val="Heading2"/>
        <w:keepNext/>
        <w:keepLines/>
      </w:pPr>
      <w:r>
        <w:rPr>
          <w:color w:val="0066CC"/>
        </w:rPr>
        <w:t>4. Destinatarios del kit</w:t>
      </w:r>
    </w:p>
    <w:p>
      <w:pPr>
        <w:pStyle w:val="ListBullet"/>
        <w:keepLines w:val="1"/>
        <w:keepNext w:val="1"/>
        <w:widowControl w:val="1"/>
      </w:pPr>
      <w:r>
        <w:t>CISOs y responsables de ciberseguridad que necesiten justificar métricas ante la alta dirección y reguladores.</w:t>
      </w:r>
    </w:p>
    <w:p>
      <w:pPr>
        <w:pStyle w:val="ListBullet"/>
        <w:keepLines w:val="1"/>
        <w:keepNext w:val="1"/>
        <w:widowControl w:val="1"/>
      </w:pPr>
      <w:r>
        <w:t>Equipos de riesgos y cumplimiento encargados de alinear NIS2/ENS con indicadores técnicos.</w:t>
      </w:r>
    </w:p>
    <w:p>
      <w:pPr>
        <w:pStyle w:val="ListBullet"/>
        <w:keepLines w:val="1"/>
        <w:keepNext w:val="1"/>
        <w:widowControl w:val="1"/>
      </w:pPr>
      <w:r>
        <w:t>Organismos nacionales (CSIRTs, autoridades competentes NIS2, unidades ENS) que quieran diseñar observatorios y cuadros de mando.</w:t>
      </w:r>
    </w:p>
    <w:p>
      <w:pPr>
        <w:pStyle w:val="ListBullet"/>
        <w:keepLines w:val="1"/>
        <w:widowControl w:val="1"/>
      </w:pPr>
      <w:r>
        <w:t>Investigadores interesados en estudiar métricas de ciberseguridad con un enfoque riguroso.</w:t>
      </w:r>
    </w:p>
    <w:p>
      <w:pPr>
        <w:pStyle w:val="Heading2"/>
        <w:keepNext/>
        <w:keepLines/>
      </w:pPr>
      <w:r>
        <w:rPr>
          <w:color w:val="0066CC"/>
        </w:rPr>
        <w:t>5. Uso recomendado (modo rápido)</w:t>
      </w:r>
    </w:p>
    <w:p>
      <w:pPr>
        <w:pStyle w:val="ListNumber"/>
        <w:keepLines w:val="1"/>
        <w:keepNext w:val="1"/>
        <w:widowControl w:val="1"/>
      </w:pPr>
      <w:r>
        <w:t>Leer marco-gqm-pragmatic.md para entender el enfoque general y los indicadores M1–M15.</w:t>
      </w:r>
    </w:p>
    <w:p>
      <w:pPr>
        <w:pStyle w:val="ListNumber"/>
        <w:keepLines w:val="1"/>
        <w:keepNext w:val="1"/>
        <w:widowControl w:val="1"/>
      </w:pPr>
      <w:r>
        <w:t>Revisar matriz-pragmatic.md y decidir qué métricas se utilizarán como "core" en el cuadro de mando.</w:t>
      </w:r>
    </w:p>
    <w:p>
      <w:pPr>
        <w:pStyle w:val="ListNumber"/>
        <w:keepLines w:val="1"/>
        <w:keepNext w:val="1"/>
        <w:widowControl w:val="1"/>
      </w:pPr>
      <w:r>
        <w:t>Implementar la hoja Excel siguiendo plantilla-igm-roi-gqm.md.</w:t>
      </w:r>
    </w:p>
    <w:p>
      <w:pPr>
        <w:pStyle w:val="ListNumber"/>
        <w:keepLines w:val="1"/>
        <w:keepNext w:val="1"/>
        <w:widowControl w:val="1"/>
      </w:pPr>
      <w:r>
        <w:t>Integrar datos de la encuesta OWASP en la hoja y calcular subíndices/IGM.</w:t>
      </w:r>
    </w:p>
    <w:p>
      <w:pPr>
        <w:pStyle w:val="ListNumber"/>
        <w:keepLines w:val="1"/>
        <w:keepNext w:val="1"/>
        <w:widowControl w:val="1"/>
      </w:pPr>
      <w:r>
        <w:t>Preparar un reporte ejecutivo siguiendo ppt-ejecutivo-gqm.md.</w:t>
      </w:r>
    </w:p>
    <w:p>
      <w:pPr>
        <w:pStyle w:val="ListNumber"/>
        <w:keepLines w:val="1"/>
        <w:widowControl w:val="1"/>
      </w:pPr>
      <w:r>
        <w:t>Utilizar mapeo-normativo-gqm.md para explicar cómo las métricas apoyan el cumplimiento ENS/NIS2.</w:t>
      </w:r>
    </w:p>
    <w:p>
      <w:pPr>
        <w:pStyle w:val="Heading2"/>
        <w:keepNext/>
        <w:keepLines/>
      </w:pPr>
      <w:r>
        <w:rPr>
          <w:color w:val="0066CC"/>
        </w:rPr>
        <w:t>6. Personalización y evolución</w:t>
      </w:r>
    </w:p>
    <w:p>
      <w:pPr>
        <w:pStyle w:val="ListBullet"/>
        <w:keepLines w:val="1"/>
        <w:keepNext w:val="1"/>
        <w:widowControl w:val="1"/>
      </w:pPr>
      <w:r>
        <w:t>Puede ajustarse la puntuación PRAGMATIC por métrica en función de la experiencia real en cada sector.</w:t>
      </w:r>
    </w:p>
    <w:p>
      <w:pPr>
        <w:pStyle w:val="ListBullet"/>
        <w:keepLines w:val="1"/>
        <w:keepNext w:val="1"/>
        <w:widowControl w:val="1"/>
      </w:pPr>
      <w:r>
        <w:t>Se pueden añadir nuevas métricas OWASP (por ejemplo, específicas para entornos OT o para riesgos de IA) siguiendo el mismo patrón GQM + PRAGMATIC.</w:t>
      </w:r>
    </w:p>
    <w:p>
      <w:pPr>
        <w:pStyle w:val="ListBullet"/>
        <w:keepLines w:val="1"/>
        <w:widowControl w:val="1"/>
      </w:pPr>
      <w:r>
        <w:t>Las ponderaciones del IGM y los umbrales de interpretación deben revisarse periódicamente.</w:t>
      </w:r>
    </w:p>
    <w:p>
      <w:pPr>
        <w:pStyle w:val="Heading2"/>
        <w:keepNext/>
        <w:keepLines/>
      </w:pPr>
      <w:r>
        <w:rPr>
          <w:color w:val="0066CC"/>
        </w:rPr>
        <w:t>7. Limitaciones y advertencias</w:t>
      </w:r>
    </w:p>
    <w:p>
      <w:pPr>
        <w:pStyle w:val="ListBullet"/>
        <w:keepLines w:val="1"/>
        <w:keepNext w:val="1"/>
        <w:widowControl w:val="1"/>
      </w:pPr>
      <w:r>
        <w:t>El marco PRAGMATIC implica necesariamente cierto grado de juicio experto; las puntuaciones iniciales son una propuesta, no dogma.</w:t>
      </w:r>
    </w:p>
    <w:p>
      <w:pPr>
        <w:pStyle w:val="ListBullet"/>
        <w:keepLines w:val="1"/>
        <w:keepNext w:val="1"/>
        <w:widowControl w:val="1"/>
      </w:pPr>
      <w:r>
        <w:t>El cálculo del ROI de seguridad es aproximado y depende fuertemente de supuestos sobre riesgo económico.</w:t>
      </w:r>
    </w:p>
    <w:p>
      <w:pPr>
        <w:pStyle w:val="ListBullet"/>
        <w:keepLines w:val="1"/>
        <w:widowControl w:val="1"/>
      </w:pPr>
      <w:r>
        <w:t>Este kit no crea cumplimiento ENS/NIS2 por sí solo, pero ayuda a demostrar de forma cuantitativa el esfuerzo y la eficacia de las medidas implantadas.</w:t>
      </w:r>
    </w:p>
    <w:p>
      <w:pPr>
        <w:pStyle w:val="Heading2"/>
        <w:keepNext/>
        <w:keepLines/>
      </w:pPr>
      <w:r>
        <w:rPr>
          <w:color w:val="0066CC"/>
        </w:rPr>
        <w:t>8. Próximos pasos sugeridos</w:t>
      </w:r>
    </w:p>
    <w:p>
      <w:pPr>
        <w:pStyle w:val="ListNumber"/>
        <w:keepLines w:val="1"/>
        <w:keepNext w:val="1"/>
        <w:widowControl w:val="1"/>
      </w:pPr>
      <w:r>
        <w:t>Validar internamente (o en un grupo de trabajo nacional/sectorial) las metas GQM y las puntuaciones PRAGMATIC iniciales.</w:t>
      </w:r>
    </w:p>
    <w:p>
      <w:pPr>
        <w:pStyle w:val="ListNumber"/>
        <w:keepLines w:val="1"/>
        <w:keepNext w:val="1"/>
        <w:widowControl w:val="1"/>
      </w:pPr>
      <w:r>
        <w:t>Ejecutar un piloto en un conjunto reducido de organizaciones para probar el enfoque.</w:t>
      </w:r>
    </w:p>
    <w:p>
      <w:pPr>
        <w:pStyle w:val="ListNumber"/>
        <w:keepLines w:val="1"/>
        <w:keepNext w:val="1"/>
        <w:widowControl w:val="1"/>
      </w:pPr>
      <w:r>
        <w:t>Ajustar métricas, ponderaciones y herramientas según las lecciones aprendidas.</w:t>
      </w:r>
    </w:p>
    <w:p>
      <w:pPr>
        <w:pStyle w:val="ListNumber"/>
        <w:keepLines w:val="1"/>
        <w:widowControl w:val="1"/>
      </w:pPr>
      <w:r>
        <w:t>Escalar a nivel sectorial o nacional si los resultados son útiles para decisiones reales.</w:t>
      </w:r>
    </w:p>
    <w:p>
      <w:r>
        <w:t>Si el kit de encuesta ponía termómetro y tensiómetro, este kit añade el estetoscopio: ayuda a escuchar el corazón de las métricas y a decidir cuáles realmente merecen ser escuchadas con atención.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