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OWASP 2025 – España</w:t>
      </w:r>
    </w:p>
    <w:p>
      <w:r>
        <w:t>Versión 1.0 – Borrador para uso piloto y adaptación institucional</w:t>
      </w:r>
    </w:p>
    <w:p>
      <w:pPr>
        <w:pStyle w:val="Heading2"/>
        <w:keepNext/>
        <w:keepLines/>
      </w:pPr>
      <w:r>
        <w:rPr>
          <w:color w:val="0066CC"/>
        </w:rPr>
        <w:t>1. ¿Qué es este kit?</w:t>
      </w:r>
    </w:p>
    <w:p>
      <w:r>
        <w:t>Este kit reúne los componentes necesarios para diseñar, ejecutar y explotar una encuesta de madurez en ciberseguridad basada en OWASP, orientada al contexto español y alineada con NIS2 y el Esquema Nacional de Seguridad (ENS).</w:t>
      </w:r>
    </w:p>
    <w:p>
      <w:r>
        <w:t>Está pensado para CISOs, equipos de riesgos, unidades de ciberseguridad institucionales y grupos de investigación que deseen medir el estado real de la seguridad de aplicaciones y de la gobernanza digital en organizaciones públicas y privadas.</w:t>
      </w:r>
    </w:p>
    <w:p>
      <w:pPr>
        <w:pStyle w:val="Heading2"/>
        <w:keepNext/>
        <w:keepLines/>
      </w:pPr>
      <w:r>
        <w:rPr>
          <w:color w:val="0066CC"/>
        </w:rPr>
        <w:t>2. Contenido del kit</w:t>
      </w:r>
    </w:p>
    <w:p>
      <w:r>
        <w:t>El kit incluye los siguientes archivos en formato Markdown:</w:t>
      </w:r>
    </w:p>
    <w:p>
      <w:pPr>
        <w:pStyle w:val="ListNumber"/>
        <w:keepLines w:val="1"/>
        <w:keepNext w:val="1"/>
        <w:widowControl w:val="1"/>
      </w:pPr>
      <w:r>
        <w:br/>
        <w:t>encuesta-owasp.md</w:t>
        <w:br/>
        <w:t xml:space="preserve">   Modelo de Encuesta Integral con bloques temáticos (perfil, gobernanza, Top 10:2025, SAMM, ASVS, riesgo, cultura, cadena de suministro, operaciones).</w:t>
        <w:br/>
      </w:r>
    </w:p>
    <w:p>
      <w:pPr>
        <w:pStyle w:val="ListNumber"/>
        <w:keepLines w:val="1"/>
        <w:keepNext w:val="1"/>
        <w:widowControl w:val="1"/>
      </w:pPr>
      <w:r>
        <w:br/>
        <w:t>guia-metodo.md</w:t>
        <w:br/>
        <w:t>Guía metodológica detallada sobre objetivos, población, muestreo, diseño de escalas, cálculo del Índice Global de Madurez (IGM) y aproximación al ROI.</w:t>
        <w:br/>
      </w:r>
    </w:p>
    <w:p>
      <w:pPr>
        <w:pStyle w:val="ListNumber"/>
        <w:keepLines w:val="1"/>
        <w:keepNext w:val="1"/>
        <w:widowControl w:val="1"/>
      </w:pPr>
      <w:r>
        <w:br/>
        <w:t>narrativa-explic.md</w:t>
        <w:br/>
        <w:t>Narrativa explicativa para acompañar la encuesta (correo de invitación, nota del CISO, texto de introducción en el formulario).</w:t>
        <w:br/>
      </w:r>
    </w:p>
    <w:p>
      <w:pPr>
        <w:pStyle w:val="ListNumber"/>
        <w:keepLines w:val="1"/>
        <w:keepNext w:val="1"/>
        <w:widowControl w:val="1"/>
      </w:pPr>
      <w:r>
        <w:br/>
        <w:t>mapeo-preguntas.md</w:t>
        <w:br/>
        <w:t>Tabla de mapeo de cada pregunta con marcos OWASP (Top 10, SAMM, ASVS), ámbitos de NIS2 y dominios ENS, y tipo de indicador.</w:t>
        <w:br/>
      </w:r>
    </w:p>
    <w:p>
      <w:pPr>
        <w:pStyle w:val="ListNumber"/>
        <w:keepLines w:val="1"/>
        <w:keepNext w:val="1"/>
        <w:widowControl w:val="1"/>
      </w:pPr>
      <w:r>
        <w:br/>
        <w:t>plantilla-igm-roi.md</w:t>
        <w:br/>
        <w:t xml:space="preserve">   Descripción de la plantilla de Excel para cálculo del IGM, subíndices y ROI de seguridad.</w:t>
        <w:br/>
      </w:r>
    </w:p>
    <w:p>
      <w:pPr>
        <w:pStyle w:val="ListNumber"/>
        <w:keepLines w:val="1"/>
        <w:widowControl w:val="1"/>
      </w:pPr>
      <w:r>
        <w:br/>
        <w:t>ppt-ejecutivo.md</w:t>
        <w:br/>
        <w:t>Plantilla de reporte ejecutivo en forma de estructura de presentación (PowerPoint o equivalente) para comunicar resultados a la alta dirección y a reguladores.</w:t>
        <w:br/>
      </w:r>
    </w:p>
    <w:p>
      <w:r>
        <w:rPr>
          <w:rFonts w:ascii="Courier New" w:hAnsi="Courier New"/>
          <w:sz w:val="18"/>
        </w:rPr>
        <w:t>encuesta-owasp.md</w:t>
      </w:r>
      <w:r/>
      <w:r>
        <w:br/>
        <w:t xml:space="preserve">   Modelo de </w:t>
      </w:r>
      <w:r>
        <w:rPr>
          <w:b/>
        </w:rPr>
        <w:t>Encuesta Integral</w:t>
      </w:r>
      <w:r>
        <w:t xml:space="preserve"> con bloques temáticos (perfil, gobernanza, Top 10:2025, SAMM, ASVS, riesgo, cultura, cadena de suministro, operaciones).</w:t>
      </w:r>
    </w:p>
    <w:p>
      <w:r>
        <w:rPr>
          <w:rFonts w:ascii="Courier New" w:hAnsi="Courier New"/>
          <w:sz w:val="18"/>
        </w:rPr>
        <w:t>guia-metodo.md</w:t>
      </w:r>
      <w:r/>
      <w:r>
        <w:br/>
      </w:r>
      <w:r>
        <w:rPr>
          <w:b/>
        </w:rPr>
        <w:t>Guía metodológica detallada</w:t>
      </w:r>
      <w:r>
        <w:t xml:space="preserve"> sobre objetivos, población, muestreo, diseño de escalas, cálculo del Índice Global de Madurez (IGM) y aproximación al ROI.</w:t>
      </w:r>
    </w:p>
    <w:p>
      <w:r>
        <w:rPr>
          <w:rFonts w:ascii="Courier New" w:hAnsi="Courier New"/>
          <w:sz w:val="18"/>
        </w:rPr>
        <w:t>narrativa-explic.md</w:t>
      </w:r>
      <w:r/>
      <w:r>
        <w:br/>
      </w:r>
      <w:r>
        <w:rPr>
          <w:b/>
        </w:rPr>
        <w:t>Narrativa explicativa</w:t>
      </w:r>
      <w:r>
        <w:t xml:space="preserve"> para acompañar la encuesta (correo de invitación, nota del CISO, texto de introducción en el formulario).</w:t>
      </w:r>
    </w:p>
    <w:p>
      <w:r>
        <w:rPr>
          <w:rFonts w:ascii="Courier New" w:hAnsi="Courier New"/>
          <w:sz w:val="18"/>
        </w:rPr>
        <w:t>mapeo-preguntas.md</w:t>
      </w:r>
      <w:r/>
      <w:r>
        <w:br/>
      </w:r>
      <w:r>
        <w:rPr>
          <w:b/>
        </w:rPr>
        <w:t>Tabla de mapeo</w:t>
      </w:r>
      <w:r>
        <w:t xml:space="preserve"> de cada pregunta con marcos OWASP (Top 10, SAMM, ASVS), ámbitos de NIS2 y dominios ENS, y tipo de indicador.</w:t>
      </w:r>
    </w:p>
    <w:p>
      <w:r>
        <w:rPr>
          <w:rFonts w:ascii="Courier New" w:hAnsi="Courier New"/>
          <w:sz w:val="18"/>
        </w:rPr>
        <w:t>plantilla-igm-roi.md</w:t>
      </w:r>
      <w:r/>
      <w:r>
        <w:br/>
        <w:t xml:space="preserve">   Descripción de la </w:t>
      </w:r>
      <w:r>
        <w:rPr>
          <w:b/>
        </w:rPr>
        <w:t>plantilla de Excel</w:t>
      </w:r>
      <w:r>
        <w:t xml:space="preserve"> para cálculo del IGM, subíndices y ROI de seguridad.</w:t>
      </w:r>
    </w:p>
    <w:p>
      <w:r>
        <w:rPr>
          <w:rFonts w:ascii="Courier New" w:hAnsi="Courier New"/>
          <w:sz w:val="18"/>
        </w:rPr>
        <w:t>ppt-ejecutivo.md</w:t>
      </w:r>
      <w:r/>
      <w:r>
        <w:br/>
      </w:r>
      <w:r>
        <w:rPr>
          <w:b/>
        </w:rPr>
        <w:t>Plantilla de reporte ejecutivo</w:t>
      </w:r>
      <w:r>
        <w:t xml:space="preserve"> en forma de estructura de presentación (PowerPoint o equivalente) para comunicar resultados a la alta dirección y a reguladores.</w:t>
      </w:r>
    </w:p>
    <w:p>
      <w:pPr>
        <w:pStyle w:val="Heading2"/>
        <w:keepNext/>
        <w:keepLines/>
      </w:pPr>
      <w:r>
        <w:rPr>
          <w:color w:val="0066CC"/>
        </w:rPr>
        <w:t>3. Cómo usar el kit (modo rápido)</w:t>
      </w:r>
    </w:p>
    <w:p>
      <w:pPr>
        <w:pStyle w:val="ListNumber"/>
        <w:keepLines w:val="1"/>
        <w:keepNext w:val="1"/>
        <w:widowControl w:val="1"/>
      </w:pPr>
      <w:r>
        <w:br/>
        <w:t>Personalizar la encuesta</w:t>
        <w:br/>
        <w:t xml:space="preserve">   Abra encuesta-owasp.md, revise los bloques y adapte terminología y ejemplos a su sector (por ejemplo, salud, energía, banca, administración pública).</w:t>
        <w:br/>
      </w:r>
    </w:p>
    <w:p>
      <w:pPr>
        <w:pStyle w:val="ListNumber"/>
        <w:keepLines w:val="1"/>
        <w:keepNext w:val="1"/>
        <w:widowControl w:val="1"/>
      </w:pPr>
      <w:r>
        <w:br/>
        <w:t>Diseñar el formulario</w:t>
        <w:br/>
        <w:t xml:space="preserve">   Implemente la encuesta en su herramienta preferida (formularios web, plataforma de encuestas, etc.), manteniendo los IDs de preguntas (P2.1, P3.5, etc.) para conservar la trazabilidad.</w:t>
        <w:br/>
      </w:r>
    </w:p>
    <w:p>
      <w:pPr>
        <w:pStyle w:val="ListNumber"/>
        <w:keepLines w:val="1"/>
        <w:keepNext w:val="1"/>
        <w:widowControl w:val="1"/>
      </w:pPr>
      <w:r>
        <w:br/>
        <w:t>Definir la metodología</w:t>
        <w:br/>
        <w:t xml:space="preserve">   Revise guia-metodo.md para validar el enfoque de población, muestreo y cálculo de índices. Ajuste ponderaciones y variables a su contexto.</w:t>
        <w:br/>
      </w:r>
    </w:p>
    <w:p>
      <w:pPr>
        <w:pStyle w:val="ListNumber"/>
        <w:keepLines w:val="1"/>
        <w:keepNext w:val="1"/>
        <w:widowControl w:val="1"/>
      </w:pPr>
      <w:r>
        <w:br/>
        <w:t>Invitar a participantes</w:t>
        <w:br/>
        <w:t xml:space="preserve">   Utilice narrativa-explic.md como base para el correo de invitación y la página de presentación de la encuesta.</w:t>
        <w:br/>
      </w:r>
    </w:p>
    <w:p>
      <w:pPr>
        <w:pStyle w:val="ListNumber"/>
        <w:keepLines w:val="1"/>
        <w:keepNext w:val="1"/>
        <w:widowControl w:val="1"/>
      </w:pPr>
      <w:r>
        <w:br/>
        <w:t>Mapear a obligaciones regulatorias</w:t>
        <w:br/>
        <w:t xml:space="preserve">   Considere mapeo-preguntas.md cuando deba explicar a auditores o reguladores cómo la encuesta se alinea con NIS2 y ENS.</w:t>
        <w:br/>
      </w:r>
    </w:p>
    <w:p>
      <w:pPr>
        <w:pStyle w:val="ListNumber"/>
        <w:keepLines w:val="1"/>
        <w:keepNext w:val="1"/>
        <w:widowControl w:val="1"/>
      </w:pPr>
      <w:r>
        <w:br/>
        <w:t>Implementar la analítica</w:t>
        <w:br/>
        <w:t xml:space="preserve">   Use plantilla-igm-roi.md para construir la hoja de cálculo que transformará respuestas en indicadores (IGM, subíndices, ROI aproximado).</w:t>
        <w:br/>
      </w:r>
    </w:p>
    <w:p>
      <w:pPr>
        <w:pStyle w:val="ListNumber"/>
        <w:keepLines w:val="1"/>
        <w:widowControl w:val="1"/>
      </w:pPr>
      <w:r>
        <w:br/>
        <w:t>Presentar resultados</w:t>
        <w:br/>
        <w:t xml:space="preserve">   Siga la estructura de ppt-ejecutivo.md para diseñar una presentación clara, comprensible y accionable para la alta dirección.</w:t>
        <w:br/>
      </w:r>
    </w:p>
    <w:p>
      <w:r>
        <w:rPr>
          <w:b/>
        </w:rPr>
        <w:t>Personalizar la encuesta</w:t>
      </w:r>
      <w:r/>
      <w:r>
        <w:br/>
        <w:t xml:space="preserve">   Abra </w:t>
      </w:r>
      <w:r>
        <w:rPr>
          <w:rFonts w:ascii="Courier New" w:hAnsi="Courier New"/>
          <w:sz w:val="18"/>
        </w:rPr>
        <w:t>encuesta-owasp.md</w:t>
      </w:r>
      <w:r>
        <w:t>, revise los bloques y adapte terminología y ejemplos a su sector (por ejemplo, salud, energía, banca, administración pública).</w:t>
      </w:r>
    </w:p>
    <w:p>
      <w:r>
        <w:rPr>
          <w:b/>
        </w:rPr>
        <w:t>Diseñar el formulario</w:t>
      </w:r>
      <w:r/>
      <w:r>
        <w:br/>
        <w:t xml:space="preserve">   Implemente la encuesta en su herramienta preferida (formularios web, plataforma de encuestas, etc.), manteniendo los IDs de preguntas (P2.1, P3.5, etc.) para conservar la trazabilidad.</w:t>
      </w:r>
    </w:p>
    <w:p>
      <w:r>
        <w:rPr>
          <w:b/>
        </w:rPr>
        <w:t>Definir la metodología</w:t>
      </w:r>
      <w:r/>
      <w:r>
        <w:br/>
        <w:t xml:space="preserve">   Revise </w:t>
      </w:r>
      <w:r>
        <w:rPr>
          <w:rFonts w:ascii="Courier New" w:hAnsi="Courier New"/>
          <w:sz w:val="18"/>
        </w:rPr>
        <w:t>guia-metodo.md</w:t>
      </w:r>
      <w:r>
        <w:t xml:space="preserve"> para validar el enfoque de población, muestreo y cálculo de índices. Ajuste ponderaciones y variables a su contexto.</w:t>
      </w:r>
    </w:p>
    <w:p>
      <w:r>
        <w:rPr>
          <w:b/>
        </w:rPr>
        <w:t>Invitar a participantes</w:t>
      </w:r>
      <w:r/>
      <w:r>
        <w:br/>
        <w:t xml:space="preserve">   Utilice </w:t>
      </w:r>
      <w:r>
        <w:rPr>
          <w:rFonts w:ascii="Courier New" w:hAnsi="Courier New"/>
          <w:sz w:val="18"/>
        </w:rPr>
        <w:t>narrativa-explic.md</w:t>
      </w:r>
      <w:r>
        <w:t xml:space="preserve"> como base para el correo de invitación y la página de presentación de la encuesta.</w:t>
      </w:r>
    </w:p>
    <w:p>
      <w:r>
        <w:rPr>
          <w:b/>
        </w:rPr>
        <w:t>Mapear a obligaciones regulatorias</w:t>
      </w:r>
      <w:r/>
      <w:r>
        <w:br/>
        <w:t xml:space="preserve">   Considere </w:t>
      </w:r>
      <w:r>
        <w:rPr>
          <w:rFonts w:ascii="Courier New" w:hAnsi="Courier New"/>
          <w:sz w:val="18"/>
        </w:rPr>
        <w:t>mapeo-preguntas.md</w:t>
      </w:r>
      <w:r>
        <w:t xml:space="preserve"> cuando deba explicar a auditores o reguladores cómo la encuesta se alinea con NIS2 y ENS.</w:t>
      </w:r>
    </w:p>
    <w:p>
      <w:r>
        <w:rPr>
          <w:b/>
        </w:rPr>
        <w:t>Implementar la analítica</w:t>
      </w:r>
      <w:r/>
      <w:r>
        <w:br/>
        <w:t xml:space="preserve">   Use </w:t>
      </w:r>
      <w:r>
        <w:rPr>
          <w:rFonts w:ascii="Courier New" w:hAnsi="Courier New"/>
          <w:sz w:val="18"/>
        </w:rPr>
        <w:t>plantilla-igm-roi.md</w:t>
      </w:r>
      <w:r>
        <w:t xml:space="preserve"> para construir la hoja de cálculo que transformará respuestas en indicadores (IGM, subíndices, ROI aproximado).</w:t>
      </w:r>
    </w:p>
    <w:p>
      <w:r>
        <w:rPr>
          <w:b/>
        </w:rPr>
        <w:t>Presentar resultados</w:t>
      </w:r>
      <w:r/>
      <w:r>
        <w:br/>
        <w:t xml:space="preserve">   Siga la estructura de </w:t>
      </w:r>
      <w:r>
        <w:rPr>
          <w:rFonts w:ascii="Courier New" w:hAnsi="Courier New"/>
          <w:sz w:val="18"/>
        </w:rPr>
        <w:t>ppt-ejecutivo.md</w:t>
      </w:r>
      <w:r>
        <w:t xml:space="preserve"> para diseñar una presentación clara, comprensible y accionable para la alta dirección.</w:t>
      </w:r>
    </w:p>
    <w:p>
      <w:pPr>
        <w:pStyle w:val="Heading2"/>
        <w:keepNext/>
        <w:keepLines/>
      </w:pPr>
      <w:r>
        <w:rPr>
          <w:color w:val="0066CC"/>
        </w:rPr>
        <w:t>4. Niveles de personalización</w:t>
      </w:r>
    </w:p>
    <w:p>
      <w:r>
        <w:t>Este kit es deliberadamente genérico pero no neutral; asume un contexto español, marcos OWASP, NIS2 y ENS. Se recomienda personalizar en tres niveles:</w:t>
      </w:r>
    </w:p>
    <w:p>
      <w:pPr>
        <w:pStyle w:val="ListNumber"/>
        <w:keepLines w:val="1"/>
        <w:keepNext w:val="1"/>
        <w:widowControl w:val="1"/>
      </w:pPr>
      <w:r>
        <w:t xml:space="preserve">Nivel terminológico </w:t>
      </w:r>
    </w:p>
    <w:p>
      <w:pPr>
        <w:pStyle w:val="ListNumber"/>
        <w:keepLines w:val="1"/>
        <w:keepNext w:val="1"/>
        <w:widowControl w:val="1"/>
      </w:pPr>
      <w:r>
        <w:br/>
        <w:t>Adaptar nombres de órganos, roles y referencias internas (por ejemplo, comités, unidades organizativas).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Nivel sectorial </w:t>
        <w:br/>
      </w:r>
    </w:p>
    <w:p>
      <w:pPr>
        <w:pStyle w:val="ListNumber"/>
        <w:keepLines w:val="1"/>
        <w:keepNext w:val="1"/>
        <w:widowControl w:val="1"/>
      </w:pPr>
      <w:r>
        <w:br/>
        <w:t>Añadir bloques o preguntas específicas (por ejemplo, escenarios clínicos en salud, sistemas SCADA en energía).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Nivel analítico </w:t>
        <w:br/>
      </w:r>
    </w:p>
    <w:p>
      <w:pPr>
        <w:pStyle w:val="ListNumber"/>
        <w:keepLines w:val="1"/>
        <w:widowControl w:val="1"/>
      </w:pPr>
      <w:r>
        <w:t>Ajustar ponderaciones del IGM, umbrales de interpretación y modelo de ROI a la realidad y apetito de riesgo de su organización.</w:t>
      </w:r>
    </w:p>
    <w:p>
      <w:r>
        <w:t>Adaptar nombres de órganos, roles y referencias internas (por ejemplo, comités, unidades organizativas).</w:t>
      </w:r>
    </w:p>
    <w:p>
      <w:r>
        <w:rPr>
          <w:b/>
        </w:rPr>
        <w:t>Nivel sectorial</w:t>
      </w:r>
      <w:r>
        <w:t xml:space="preserve"> </w:t>
      </w:r>
    </w:p>
    <w:p>
      <w:r>
        <w:t>Añadir bloques o preguntas específicas (por ejemplo, escenarios clínicos en salud, sistemas SCADA en energía).</w:t>
      </w:r>
    </w:p>
    <w:p>
      <w:r>
        <w:rPr>
          <w:b/>
        </w:rPr>
        <w:t>Nivel analítico</w:t>
      </w:r>
      <w:r>
        <w:t xml:space="preserve"> </w:t>
      </w:r>
    </w:p>
    <w:p>
      <w:pPr>
        <w:pStyle w:val="Heading2"/>
        <w:keepNext/>
        <w:keepLines/>
      </w:pPr>
      <w:r>
        <w:rPr>
          <w:color w:val="0066CC"/>
        </w:rPr>
        <w:t>5. Prerrequisitos recomendados</w:t>
      </w:r>
    </w:p>
    <w:p>
      <w:pPr>
        <w:pStyle w:val="ListBullet"/>
        <w:keepLines w:val="1"/>
        <w:keepNext w:val="1"/>
        <w:widowControl w:val="1"/>
      </w:pPr>
      <w:r>
        <w:t>Un equipo impulsor con representación de:</w:t>
      </w:r>
    </w:p>
    <w:p>
      <w:pPr>
        <w:pStyle w:val="ListBullet"/>
        <w:keepLines w:val="1"/>
        <w:keepNext w:val="1"/>
        <w:widowControl w:val="1"/>
      </w:pPr>
      <w:r>
        <w:t>Ciberseguridad / CISO.</w:t>
      </w:r>
    </w:p>
    <w:p>
      <w:pPr>
        <w:pStyle w:val="ListBullet"/>
        <w:keepLines w:val="1"/>
        <w:keepNext w:val="1"/>
        <w:widowControl w:val="1"/>
      </w:pPr>
      <w:r>
        <w:t>Riesgos / cumplimiento.</w:t>
      </w:r>
    </w:p>
    <w:p>
      <w:pPr>
        <w:pStyle w:val="ListBullet"/>
        <w:keepLines w:val="1"/>
        <w:keepNext w:val="1"/>
        <w:widowControl w:val="1"/>
      </w:pPr>
      <w:r>
        <w:t>Desarrollo / DevSecOps.</w:t>
      </w:r>
    </w:p>
    <w:p>
      <w:pPr>
        <w:pStyle w:val="ListBullet"/>
        <w:keepLines w:val="1"/>
        <w:keepNext w:val="1"/>
        <w:widowControl w:val="1"/>
      </w:pPr>
      <w:r>
        <w:br/>
        <w:t>Negocio / dirección.</w:t>
        <w:br/>
      </w:r>
    </w:p>
    <w:p>
      <w:pPr>
        <w:pStyle w:val="ListBullet"/>
        <w:keepLines w:val="1"/>
        <w:keepNext w:val="1"/>
        <w:widowControl w:val="1"/>
      </w:pPr>
      <w:r>
        <w:br/>
        <w:t>Herramientas básicas:</w:t>
        <w:br/>
      </w:r>
    </w:p>
    <w:p>
      <w:pPr>
        <w:pStyle w:val="ListBullet"/>
        <w:keepLines w:val="1"/>
        <w:keepNext w:val="1"/>
        <w:widowControl w:val="1"/>
      </w:pPr>
      <w:r>
        <w:t>Plataforma de encuestas o formularios.</w:t>
      </w:r>
    </w:p>
    <w:p>
      <w:pPr>
        <w:pStyle w:val="ListBullet"/>
        <w:keepLines w:val="1"/>
        <w:keepNext w:val="1"/>
        <w:widowControl w:val="1"/>
      </w:pPr>
      <w:r>
        <w:br/>
        <w:t>Hoja de cálculo (Excel, LibreOffice, Google Sheets, etc.).</w:t>
        <w:br/>
      </w:r>
    </w:p>
    <w:p>
      <w:pPr>
        <w:pStyle w:val="ListBullet"/>
        <w:keepLines w:val="1"/>
        <w:widowControl w:val="1"/>
      </w:pPr>
      <w:r>
        <w:br/>
        <w:t>Apetito mínimo de autoconocimiento: ganas de ver la foto real, aunque algunos píxeles salgan movidos.</w:t>
        <w:br/>
      </w:r>
    </w:p>
    <w:p>
      <w:r>
        <w:t>Negocio / dirección.</w:t>
      </w:r>
    </w:p>
    <w:p>
      <w:r>
        <w:t>Herramientas básicas:</w:t>
      </w:r>
    </w:p>
    <w:p>
      <w:r>
        <w:t>Hoja de cálculo (Excel, LibreOffice, Google Sheets, etc.).</w:t>
      </w:r>
    </w:p>
    <w:p>
      <w:r>
        <w:t>Apetito mínimo de autoconocimiento: ganas de ver la foto real, aunque algunos píxeles salgan movidos.</w:t>
      </w:r>
    </w:p>
    <w:p>
      <w:pPr>
        <w:pStyle w:val="Heading2"/>
        <w:keepNext/>
        <w:keepLines/>
      </w:pPr>
      <w:r>
        <w:rPr>
          <w:color w:val="0066CC"/>
        </w:rPr>
        <w:t>6. Buenas prácticas de despliegue</w:t>
      </w:r>
    </w:p>
    <w:p>
      <w:pPr>
        <w:pStyle w:val="ListBullet"/>
        <w:keepLines w:val="1"/>
        <w:keepNext w:val="1"/>
        <w:widowControl w:val="1"/>
      </w:pPr>
      <w:r>
        <w:t>Empezar con un piloto controlado en un grupo reducido de organizaciones para ajustar preguntas y tiempos.</w:t>
      </w:r>
    </w:p>
    <w:p>
      <w:pPr>
        <w:pStyle w:val="ListBullet"/>
        <w:keepLines w:val="1"/>
        <w:keepNext w:val="1"/>
        <w:widowControl w:val="1"/>
      </w:pPr>
      <w:r>
        <w:t>Promover la participación multiactor dentro de cada entidad (no dejar toda la carga al CISO).</w:t>
      </w:r>
    </w:p>
    <w:p>
      <w:pPr>
        <w:pStyle w:val="ListBullet"/>
        <w:keepLines w:val="1"/>
        <w:keepNext w:val="1"/>
        <w:widowControl w:val="1"/>
      </w:pPr>
      <w:r>
        <w:t>Ofrecer retornos de valor claros a las organizaciones (informes comparativos, recomendaciones, talleres).</w:t>
      </w:r>
    </w:p>
    <w:p>
      <w:pPr>
        <w:pStyle w:val="ListBullet"/>
        <w:keepLines w:val="1"/>
        <w:widowControl w:val="1"/>
      </w:pPr>
      <w:r>
        <w:t>Revisar periódicamente el cuestionario para alinearlo con nuevas versiones de OWASP, cambios en NIS2/ENS y lecciones aprendidas.</w:t>
      </w:r>
    </w:p>
    <w:p>
      <w:pPr>
        <w:pStyle w:val="Heading2"/>
        <w:keepNext/>
        <w:keepLines/>
      </w:pPr>
      <w:r>
        <w:rPr>
          <w:color w:val="0066CC"/>
        </w:rPr>
        <w:t>7. Limitaciones y avisos necesarios</w:t>
      </w:r>
    </w:p>
    <w:p>
      <w:pPr>
        <w:pStyle w:val="ListBullet"/>
        <w:keepLines w:val="1"/>
        <w:keepNext w:val="1"/>
        <w:widowControl w:val="1"/>
      </w:pPr>
      <w:r>
        <w:t>Este kit no sustituye asesoramiento jurídico ni técnico específico; es una herramienta de diagnóstico y apoyo estratégico.</w:t>
      </w:r>
    </w:p>
    <w:p>
      <w:pPr>
        <w:pStyle w:val="ListBullet"/>
        <w:keepLines w:val="1"/>
        <w:keepNext w:val="1"/>
        <w:widowControl w:val="1"/>
      </w:pPr>
      <w:r>
        <w:t>Las métricas propuestas (IGM, ROI aproximado) dependen de la calidad de los datos y de los supuestos realizados.</w:t>
      </w:r>
    </w:p>
    <w:p>
      <w:pPr>
        <w:pStyle w:val="ListBullet"/>
        <w:keepLines w:val="1"/>
        <w:widowControl w:val="1"/>
      </w:pPr>
      <w:r>
        <w:t>El uso de OWASP, NIS2 y ENS como marcos de referencia no implica una certificación automática; más bien ofrece un lenguaje común entre técnicos, gestores y reguladores.</w:t>
      </w:r>
    </w:p>
    <w:p>
      <w:pPr>
        <w:pStyle w:val="Heading2"/>
        <w:keepNext/>
        <w:keepLines/>
      </w:pPr>
      <w:r>
        <w:rPr>
          <w:color w:val="0066CC"/>
        </w:rPr>
        <w:t>8. Próximos pasos sugeridos</w:t>
      </w:r>
    </w:p>
    <w:p>
      <w:pPr>
        <w:pStyle w:val="ListNumber"/>
        <w:keepLines w:val="1"/>
        <w:keepNext w:val="1"/>
        <w:widowControl w:val="1"/>
      </w:pPr>
      <w:r>
        <w:t>Designar un equipo responsable del proyecto de encuesta dentro de su organización o institución.</w:t>
      </w:r>
    </w:p>
    <w:p>
      <w:pPr>
        <w:pStyle w:val="ListNumber"/>
        <w:keepLines w:val="1"/>
        <w:keepNext w:val="1"/>
        <w:widowControl w:val="1"/>
      </w:pPr>
      <w:r>
        <w:t>Definir un calendario de despliegue (piloto, primera ola, siguiente revisión).</w:t>
      </w:r>
    </w:p>
    <w:p>
      <w:pPr>
        <w:pStyle w:val="ListNumber"/>
        <w:keepLines w:val="1"/>
        <w:widowControl w:val="1"/>
      </w:pPr>
      <w:r>
        <w:t>Establecer desde el principio cómo se compartirán y utilizarán los resultados (informes internos, comunicación a órganos de gobierno, contribución a observatorios nacionales, etc.).</w:t>
      </w:r>
    </w:p>
    <w:p>
      <w:r>
        <w:t>Este README es la puerta de entrada; el resto del kit es la caja de herramientas. La obra, como siempre, queda en sus manos.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