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PILAR–ENS</w:t>
      </w:r>
    </w:p>
    <w:p>
      <w:r>
        <w:t>Cómo pasar de una colección de respuestas más o menos sinceras a un mapa razonable de madurez, riesgo y cumplimiento ENS apoyado en PILAR.</w:t>
      </w:r>
    </w:p>
    <w:p>
      <w:pPr>
        <w:pStyle w:val="Heading2"/>
        <w:keepNext/>
        <w:keepLines/>
      </w:pPr>
      <w:r>
        <w:rPr>
          <w:color w:val="0066CC"/>
        </w:rPr>
        <w:t>1. Objetivo y alcance</w:t>
      </w:r>
    </w:p>
    <w:p>
      <w:r>
        <w:t>Esta guía explica cómo usar la encuesta integral para:</w:t>
      </w:r>
    </w:p>
    <w:p>
      <w:pPr>
        <w:pStyle w:val="ListBullet"/>
        <w:keepLines w:val="1"/>
        <w:keepNext w:val="1"/>
        <w:widowControl w:val="1"/>
      </w:pPr>
      <w:r>
        <w:t xml:space="preserve">Evaluar el grado de adopción de una metodología de análisis de riesgos alineada con PILAR y el ENS.  </w:t>
      </w:r>
    </w:p>
    <w:p>
      <w:pPr>
        <w:pStyle w:val="ListBullet"/>
        <w:keepLines w:val="1"/>
        <w:keepNext w:val="1"/>
        <w:widowControl w:val="1"/>
      </w:pPr>
      <w:r>
        <w:t xml:space="preserve">Medir la madurez de la implementación de salvaguardas y controles (L0–L5).  </w:t>
      </w:r>
    </w:p>
    <w:p>
      <w:pPr>
        <w:pStyle w:val="ListBullet"/>
        <w:keepLines w:val="1"/>
        <w:widowControl w:val="1"/>
      </w:pPr>
      <w:r>
        <w:t>Construir un Índice Global de Madurez (IGM) y preparar insumos para estimar el ROI de las inversiones en seguridad y cumplimiento ENS.</w:t>
      </w:r>
    </w:p>
    <w:p>
      <w:r>
        <w:t>La encuesta está diseñada para ser aplicada tanto a nivel de organización como, si se desea, por sistema de información o dominio de seguridad.</w:t>
      </w:r>
    </w:p>
    <w:p>
      <w:pPr>
        <w:pStyle w:val="Heading2"/>
        <w:keepNext/>
        <w:keepLines/>
      </w:pPr>
      <w:r>
        <w:rPr>
          <w:color w:val="0066CC"/>
        </w:rPr>
        <w:t>2. Población objetivo y roles</w:t>
      </w:r>
    </w:p>
    <w:p>
      <w:r>
        <w:t>Se recomienda que la encuesta no sea rellenada por una única persona omnisciente (especie en peligro de extinción), sino por un pequeño grupo representativo:</w:t>
      </w:r>
    </w:p>
    <w:p>
      <w:pPr>
        <w:pStyle w:val="ListBullet"/>
        <w:keepLines w:val="1"/>
        <w:keepNext w:val="1"/>
        <w:widowControl w:val="1"/>
      </w:pPr>
      <w:r>
        <w:t xml:space="preserve">Responsables de seguridad / ENS.  </w:t>
      </w:r>
    </w:p>
    <w:p>
      <w:pPr>
        <w:pStyle w:val="ListBullet"/>
        <w:keepLines w:val="1"/>
        <w:keepNext w:val="1"/>
        <w:widowControl w:val="1"/>
      </w:pPr>
      <w:r>
        <w:t xml:space="preserve">Responsables de TI / infraestructuras.  </w:t>
      </w:r>
    </w:p>
    <w:p>
      <w:pPr>
        <w:pStyle w:val="ListBullet"/>
        <w:keepLines w:val="1"/>
        <w:keepNext w:val="1"/>
        <w:widowControl w:val="1"/>
      </w:pPr>
      <w:r>
        <w:t xml:space="preserve">Responsables de negocio / propietarios de procesos clave.  </w:t>
      </w:r>
    </w:p>
    <w:p>
      <w:pPr>
        <w:pStyle w:val="ListBullet"/>
        <w:keepLines w:val="1"/>
        <w:widowControl w:val="1"/>
      </w:pPr>
      <w:r>
        <w:t>En organizaciones grandes, representantes de continuidad de negocio y auditoría interna.</w:t>
      </w:r>
    </w:p>
    <w:p>
      <w:r>
        <w:t>La respuesta puede coordinarse en una sesión conjunta o mediante recopilación previa seguida de consolidación.</w:t>
      </w:r>
    </w:p>
    <w:p>
      <w:pPr>
        <w:pStyle w:val="Heading2"/>
        <w:keepNext/>
        <w:keepLines/>
      </w:pPr>
      <w:r>
        <w:rPr>
          <w:color w:val="0066CC"/>
        </w:rPr>
        <w:t>3. Escalas de respuesta y correspondencia con niveles de madurez</w:t>
      </w:r>
    </w:p>
    <w:p>
      <w:r>
        <w:t>Las preguntas utilizan principalmente escalas ordinales (de “no existe” a “muy formalizado”) que deben traducirse a valores numéricos para el cálculo del IGM y otros indicadores.</w:t>
      </w:r>
    </w:p>
    <w:p>
      <w:pPr>
        <w:pStyle w:val="Heading3"/>
        <w:keepNext/>
        <w:keepLines/>
      </w:pPr>
      <w:r>
        <w:t>3.1 Escala de madurez L0–L5</w:t>
      </w:r>
    </w:p>
    <w:p>
      <w:r>
        <w:t>Cuando la pregunta se refiere explícitamente a madurez de salvaguardas o procesos, se recomienda mapear las respuestas a:</w:t>
      </w:r>
    </w:p>
    <w:p>
      <w:pPr>
        <w:pStyle w:val="ListBullet"/>
        <w:keepLines w:val="1"/>
        <w:keepNext w:val="1"/>
        <w:widowControl w:val="1"/>
      </w:pPr>
      <w:r>
        <w:t xml:space="preserve">L0: inexistente (0 %)  </w:t>
      </w:r>
    </w:p>
    <w:p>
      <w:pPr>
        <w:pStyle w:val="ListBullet"/>
        <w:keepLines w:val="1"/>
        <w:keepNext w:val="1"/>
        <w:widowControl w:val="1"/>
      </w:pPr>
      <w:r>
        <w:t xml:space="preserve">L1: ad hoc / informal (10 %)  </w:t>
      </w:r>
    </w:p>
    <w:p>
      <w:pPr>
        <w:pStyle w:val="ListBullet"/>
        <w:keepLines w:val="1"/>
        <w:keepNext w:val="1"/>
        <w:widowControl w:val="1"/>
      </w:pPr>
      <w:r>
        <w:t xml:space="preserve">L2: reproducible intuitivo (50 %)  </w:t>
      </w:r>
    </w:p>
    <w:p>
      <w:pPr>
        <w:pStyle w:val="ListBullet"/>
        <w:keepLines w:val="1"/>
        <w:keepNext w:val="1"/>
        <w:widowControl w:val="1"/>
      </w:pPr>
      <w:r>
        <w:t xml:space="preserve">L3: proceso definido (80 %)  </w:t>
      </w:r>
    </w:p>
    <w:p>
      <w:pPr>
        <w:pStyle w:val="ListBullet"/>
        <w:keepLines w:val="1"/>
        <w:keepNext w:val="1"/>
        <w:widowControl w:val="1"/>
      </w:pPr>
      <w:r>
        <w:t xml:space="preserve">L4: gestionado y medible (90 %)  </w:t>
      </w:r>
    </w:p>
    <w:p>
      <w:pPr>
        <w:pStyle w:val="ListBullet"/>
        <w:keepLines w:val="1"/>
        <w:widowControl w:val="1"/>
      </w:pPr>
      <w:r>
        <w:t>L5: optimizado (100 %)</w:t>
      </w:r>
    </w:p>
    <w:p>
      <w:r>
        <w:t>Esta escala deriva de las descripciones habituales en PILAR y en las guías ENS sobre índices de madurez. [web:16][web:17][web:20][web:23]</w:t>
      </w:r>
    </w:p>
    <w:p>
      <w:pPr>
        <w:pStyle w:val="Heading3"/>
        <w:keepNext/>
        <w:keepLines/>
      </w:pPr>
      <w:r>
        <w:t>3.2 Escalas cualitativas (bajo, medio, alto)</w:t>
      </w:r>
    </w:p>
    <w:p>
      <w:r>
        <w:t>Para preguntas de tipo “nivel de comprensión percibido”, “coherencia” u otras valoraciones cualitativas, se propone una escala 1–5:</w:t>
      </w:r>
    </w:p>
    <w:p>
      <w:pPr>
        <w:pStyle w:val="ListBullet"/>
        <w:keepLines w:val="1"/>
        <w:keepNext w:val="1"/>
        <w:widowControl w:val="1"/>
      </w:pPr>
      <w:r>
        <w:t xml:space="preserve">1: muy bajo  </w:t>
      </w:r>
    </w:p>
    <w:p>
      <w:pPr>
        <w:pStyle w:val="ListBullet"/>
        <w:keepLines w:val="1"/>
        <w:keepNext w:val="1"/>
        <w:widowControl w:val="1"/>
      </w:pPr>
      <w:r>
        <w:t xml:space="preserve">2: bajo  </w:t>
      </w:r>
    </w:p>
    <w:p>
      <w:pPr>
        <w:pStyle w:val="ListBullet"/>
        <w:keepLines w:val="1"/>
        <w:keepNext w:val="1"/>
        <w:widowControl w:val="1"/>
      </w:pPr>
      <w:r>
        <w:t xml:space="preserve">3: medio  </w:t>
      </w:r>
    </w:p>
    <w:p>
      <w:pPr>
        <w:pStyle w:val="ListBullet"/>
        <w:keepLines w:val="1"/>
        <w:keepNext w:val="1"/>
        <w:widowControl w:val="1"/>
      </w:pPr>
      <w:r>
        <w:t xml:space="preserve">4: alto  </w:t>
      </w:r>
    </w:p>
    <w:p>
      <w:pPr>
        <w:pStyle w:val="ListBullet"/>
        <w:keepLines w:val="1"/>
        <w:widowControl w:val="1"/>
      </w:pPr>
      <w:r>
        <w:t>5: muy alto</w:t>
      </w:r>
    </w:p>
    <w:p>
      <w:r>
        <w:t>Estas se utilizarán como factores de ajuste o como indicadores complementarios.</w:t>
      </w:r>
    </w:p>
    <w:p>
      <w:pPr>
        <w:pStyle w:val="Heading2"/>
        <w:keepNext/>
        <w:keepLines/>
      </w:pPr>
      <w:r>
        <w:rPr>
          <w:color w:val="0066CC"/>
        </w:rPr>
        <w:t>4. Cálculo del Índice Global de Madurez (IGM)</w:t>
      </w:r>
    </w:p>
    <w:p>
      <w:r>
        <w:t>El IGM pretende ofrecer un valor agregado entre 0 y 100 que resuma el estado de madurez de la organización en relación con:</w:t>
      </w:r>
    </w:p>
    <w:p>
      <w:pPr>
        <w:pStyle w:val="ListBullet"/>
        <w:keepLines w:val="1"/>
        <w:keepNext w:val="1"/>
        <w:widowControl w:val="1"/>
      </w:pPr>
      <w:r>
        <w:t xml:space="preserve">Metodología de análisis de riesgos.  </w:t>
      </w:r>
    </w:p>
    <w:p>
      <w:pPr>
        <w:pStyle w:val="ListBullet"/>
        <w:keepLines w:val="1"/>
        <w:keepNext w:val="1"/>
        <w:widowControl w:val="1"/>
      </w:pPr>
      <w:r>
        <w:t xml:space="preserve">Modelado de activos y dependencias.  </w:t>
      </w:r>
    </w:p>
    <w:p>
      <w:pPr>
        <w:pStyle w:val="ListBullet"/>
        <w:keepLines w:val="1"/>
        <w:keepNext w:val="1"/>
        <w:widowControl w:val="1"/>
      </w:pPr>
      <w:r>
        <w:t xml:space="preserve">Madurez de salvaguardas y controles.  </w:t>
      </w:r>
    </w:p>
    <w:p>
      <w:pPr>
        <w:pStyle w:val="ListBullet"/>
        <w:keepLines w:val="1"/>
        <w:keepNext w:val="1"/>
        <w:widowControl w:val="1"/>
      </w:pPr>
      <w:r>
        <w:t xml:space="preserve">Ciclo de vida y continuidad de negocio.  </w:t>
      </w:r>
    </w:p>
    <w:p>
      <w:pPr>
        <w:pStyle w:val="ListBullet"/>
        <w:keepLines w:val="1"/>
        <w:widowControl w:val="1"/>
      </w:pPr>
      <w:r>
        <w:t>Cultura, recursos y gobierno.</w:t>
      </w:r>
    </w:p>
    <w:p>
      <w:pPr>
        <w:pStyle w:val="Heading3"/>
        <w:keepNext/>
        <w:keepLines/>
      </w:pPr>
      <w:r>
        <w:t>4.1 Dimensiones propuestas</w:t>
      </w:r>
    </w:p>
    <w:p>
      <w:r>
        <w:t>Se proponen cinco dimensiones, cada una con ponderación inicial del 20 % (ajustable según contexto):</w:t>
      </w:r>
    </w:p>
    <w:p>
      <w:pPr>
        <w:pStyle w:val="ListNumber"/>
        <w:keepLines w:val="1"/>
        <w:keepNext w:val="1"/>
        <w:widowControl w:val="1"/>
      </w:pPr>
      <w:r>
        <w:t xml:space="preserve">Metodología y alcance del análisis de riesgos.  </w:t>
      </w:r>
    </w:p>
    <w:p>
      <w:pPr>
        <w:pStyle w:val="ListNumber"/>
        <w:keepLines w:val="1"/>
        <w:keepNext w:val="1"/>
        <w:widowControl w:val="1"/>
      </w:pPr>
      <w:r>
        <w:t xml:space="preserve">Modelado de activos, dominios y dependencias.  </w:t>
      </w:r>
    </w:p>
    <w:p>
      <w:pPr>
        <w:pStyle w:val="ListNumber"/>
        <w:keepLines w:val="1"/>
        <w:keepNext w:val="1"/>
        <w:widowControl w:val="1"/>
      </w:pPr>
      <w:r>
        <w:t xml:space="preserve">Madurez de salvaguardas y controles ENS.  </w:t>
      </w:r>
    </w:p>
    <w:p>
      <w:pPr>
        <w:pStyle w:val="ListNumber"/>
        <w:keepLines w:val="1"/>
        <w:keepNext w:val="1"/>
        <w:widowControl w:val="1"/>
      </w:pPr>
      <w:r>
        <w:t xml:space="preserve">Integración en ciclo de vida, continuidad y métricas.  </w:t>
      </w:r>
    </w:p>
    <w:p>
      <w:pPr>
        <w:pStyle w:val="ListNumber"/>
        <w:keepLines w:val="1"/>
        <w:widowControl w:val="1"/>
      </w:pPr>
      <w:r>
        <w:t>Cultura, recursos y gobierno.</w:t>
      </w:r>
    </w:p>
    <w:p>
      <w:r>
        <w:t>Cada dimensión se calcula como media ponderada de un subconjunto de preguntas de la encuesta.</w:t>
      </w:r>
    </w:p>
    <w:p>
      <w:pPr>
        <w:pStyle w:val="Heading3"/>
        <w:keepNext/>
        <w:keepLines/>
      </w:pPr>
      <w:r>
        <w:t>4.2 Ejemplo de asignación de preguntas a dimensiones</w:t>
      </w:r>
    </w:p>
    <w:p>
      <w:pPr>
        <w:pStyle w:val="ListBullet"/>
        <w:keepLines w:val="1"/>
        <w:keepNext w:val="1"/>
        <w:widowControl w:val="1"/>
      </w:pPr>
      <w:r>
        <w:t xml:space="preserve">Dimensión 1: preguntas 2.1–2.4, 4.1–4.4.  </w:t>
      </w:r>
    </w:p>
    <w:p>
      <w:pPr>
        <w:pStyle w:val="ListBullet"/>
        <w:keepLines w:val="1"/>
        <w:keepNext w:val="1"/>
        <w:widowControl w:val="1"/>
      </w:pPr>
      <w:r>
        <w:t xml:space="preserve">Dimensión 2: preguntas 3.1–3.5.  </w:t>
      </w:r>
    </w:p>
    <w:p>
      <w:pPr>
        <w:pStyle w:val="ListBullet"/>
        <w:keepLines w:val="1"/>
        <w:keepNext w:val="1"/>
        <w:widowControl w:val="1"/>
      </w:pPr>
      <w:r>
        <w:t xml:space="preserve">Dimensión 3: preguntas 5.1–5.5, 6.1–6.5.  </w:t>
      </w:r>
    </w:p>
    <w:p>
      <w:pPr>
        <w:pStyle w:val="ListBullet"/>
        <w:keepLines w:val="1"/>
        <w:keepNext w:val="1"/>
        <w:widowControl w:val="1"/>
      </w:pPr>
      <w:r>
        <w:t xml:space="preserve">Dimensión 4: preguntas 7.1–7.4, 8.1–8.4, 9.1–9.5.  </w:t>
      </w:r>
    </w:p>
    <w:p>
      <w:pPr>
        <w:pStyle w:val="ListBullet"/>
        <w:keepLines w:val="1"/>
        <w:widowControl w:val="1"/>
      </w:pPr>
      <w:r>
        <w:t>Dimensión 5: preguntas 1.4, 10.1–10.3, 11.1.</w:t>
      </w:r>
    </w:p>
    <w:p>
      <w:r>
        <w:t>Cada pregunta se mapea a un valor 0–100 utilizando la escala correspondiente (L0–L5, 1–5, etc.).</w:t>
      </w:r>
    </w:p>
    <w:p>
      <w:pPr>
        <w:pStyle w:val="Heading3"/>
        <w:keepNext/>
        <w:keepLines/>
      </w:pPr>
      <w:r>
        <w:t>4.3 Fórmula genérica</w:t>
      </w:r>
    </w:p>
    <w:p>
      <w:r>
        <w:t>Sea (D_i) el valor de la dimensión (i) (0–100) y (w_i) su peso (por defecto, (w_i = 0{,}2)).</w:t>
      </w:r>
      <w:r/>
      <w:r>
        <w:br/>
        <w:t>El IGM se define como:</w:t>
      </w:r>
    </w:p>
    <w:p>
      <w:r>
        <w:t>[</w:t>
      </w:r>
      <w:r/>
      <w:r>
        <w:br/>
        <w:t>IGM = \sum_{i=1}^{5} w_i \cdot D_i</w:t>
      </w:r>
      <w:r/>
      <w:r>
        <w:br/>
        <w:t>]</w:t>
      </w:r>
    </w:p>
    <w:p>
      <w:r>
        <w:t>Los pesos pueden ajustarse para reflejar prioridades estratégicas (por ejemplo, dar mayor peso a la madurez de medidas ENS en fases iniciales de adecuación).</w:t>
      </w:r>
    </w:p>
    <w:p>
      <w:pPr>
        <w:pStyle w:val="Heading2"/>
        <w:keepNext/>
        <w:keepLines/>
      </w:pPr>
      <w:r>
        <w:rPr>
          <w:color w:val="0066CC"/>
        </w:rPr>
        <w:t>5. Uso de la encuesta con proyectos PILAR y perfil ENS</w:t>
      </w:r>
    </w:p>
    <w:p>
      <w:pPr>
        <w:pStyle w:val="Heading3"/>
        <w:keepNext/>
        <w:keepLines/>
      </w:pPr>
      <w:r>
        <w:t>5.1 Sincronización con proyectos existentes</w:t>
      </w:r>
    </w:p>
    <w:p>
      <w:r>
        <w:t>Si la organización ya dispone de proyectos PILAR con perfil ENS:</w:t>
      </w:r>
    </w:p>
    <w:p>
      <w:pPr>
        <w:pStyle w:val="ListBullet"/>
        <w:keepLines w:val="1"/>
        <w:keepNext w:val="1"/>
        <w:widowControl w:val="1"/>
      </w:pPr>
      <w:r>
        <w:t xml:space="preserve">Utilizar la encuesta para contrastar la percepción declarada con los índices de madurez que la propia herramienta puede calcular. [web:17][web:20]  </w:t>
      </w:r>
    </w:p>
    <w:p>
      <w:pPr>
        <w:pStyle w:val="ListBullet"/>
        <w:keepLines w:val="1"/>
        <w:widowControl w:val="1"/>
      </w:pPr>
      <w:r>
        <w:t>Identificar divergencias (por ejemplo, alta madurez percibida versus madurez baja en controles críticos).</w:t>
      </w:r>
    </w:p>
    <w:p>
      <w:pPr>
        <w:pStyle w:val="Heading3"/>
        <w:keepNext/>
        <w:keepLines/>
      </w:pPr>
      <w:r>
        <w:t>5.2 Organización sin PILAR pero con ENS</w:t>
      </w:r>
    </w:p>
    <w:p>
      <w:r>
        <w:t>Si no se usa PILAR, la encuesta sigue siendo útil para:</w:t>
      </w:r>
    </w:p>
    <w:p>
      <w:pPr>
        <w:pStyle w:val="ListBullet"/>
        <w:keepLines w:val="1"/>
        <w:keepNext w:val="1"/>
        <w:widowControl w:val="1"/>
      </w:pPr>
      <w:r>
        <w:t xml:space="preserve">Diagnosticar el nivel de formalización del análisis de riesgos.  </w:t>
      </w:r>
    </w:p>
    <w:p>
      <w:pPr>
        <w:pStyle w:val="ListBullet"/>
        <w:keepLines w:val="1"/>
        <w:keepNext w:val="1"/>
        <w:widowControl w:val="1"/>
      </w:pPr>
      <w:r>
        <w:t xml:space="preserve">Identificar carencias en modelado de activos, dependencias y zonas.  </w:t>
      </w:r>
    </w:p>
    <w:p>
      <w:pPr>
        <w:pStyle w:val="ListBullet"/>
        <w:keepLines w:val="1"/>
        <w:widowControl w:val="1"/>
      </w:pPr>
      <w:r>
        <w:t>Establecer una línea base antes de adoptar una herramienta especializada.</w:t>
      </w:r>
    </w:p>
    <w:p>
      <w:pPr>
        <w:pStyle w:val="Heading2"/>
        <w:keepNext/>
        <w:keepLines/>
      </w:pPr>
      <w:r>
        <w:rPr>
          <w:color w:val="0066CC"/>
        </w:rPr>
        <w:t>6. Estimación del ROI en seguridad y ENS</w:t>
      </w:r>
    </w:p>
    <w:p>
      <w:r>
        <w:t>La encuesta no pretende producir un ROI automático (la alquimia tiene límites), pero proporciona insumos esenciales:</w:t>
      </w:r>
    </w:p>
    <w:p>
      <w:pPr>
        <w:pStyle w:val="ListBullet"/>
        <w:keepLines w:val="1"/>
        <w:keepNext w:val="1"/>
        <w:widowControl w:val="1"/>
      </w:pPr>
      <w:r>
        <w:t xml:space="preserve">Información sobre el grado de implantación de medidas.  </w:t>
      </w:r>
    </w:p>
    <w:p>
      <w:pPr>
        <w:pStyle w:val="ListBullet"/>
        <w:keepLines w:val="1"/>
        <w:keepNext w:val="1"/>
        <w:widowControl w:val="1"/>
      </w:pPr>
      <w:r>
        <w:t xml:space="preserve">Datos sobre integración con continuidad y respuesta a incidentes.  </w:t>
      </w:r>
    </w:p>
    <w:p>
      <w:pPr>
        <w:pStyle w:val="ListBullet"/>
        <w:keepLines w:val="1"/>
        <w:widowControl w:val="1"/>
      </w:pPr>
      <w:r>
        <w:t>Indicadores sobre cultura y soporte directivo.</w:t>
      </w:r>
    </w:p>
    <w:p>
      <w:r>
        <w:t>Combinando el IGM con datos de incidentes (frecuencia, impacto) y de inversión (OPEX/CAPEX) se puede:</w:t>
      </w:r>
    </w:p>
    <w:p>
      <w:pPr>
        <w:pStyle w:val="ListBullet"/>
        <w:keepLines w:val="1"/>
        <w:keepNext w:val="1"/>
        <w:widowControl w:val="1"/>
      </w:pPr>
      <w:r>
        <w:t xml:space="preserve">Estimar la reducción de riesgo (pérdida esperada) asociada a mejoras de madurez.  </w:t>
      </w:r>
    </w:p>
    <w:p>
      <w:pPr>
        <w:pStyle w:val="ListBullet"/>
        <w:keepLines w:val="1"/>
        <w:widowControl w:val="1"/>
      </w:pPr>
      <w:r>
        <w:t>Priorizar inversiones según el aumento esperado del IGM en dimensiones concretas.</w:t>
      </w:r>
    </w:p>
    <w:p>
      <w:r>
        <w:t>Se sugiere utilizar la plantilla de Excel adjunta para consolidar métricas, modelar escenarios de inversión y obtener valores comparables de ROI.</w:t>
      </w:r>
    </w:p>
    <w:p>
      <w:pPr>
        <w:pStyle w:val="Heading2"/>
        <w:keepNext/>
        <w:keepLines/>
      </w:pPr>
      <w:r>
        <w:rPr>
          <w:color w:val="0066CC"/>
        </w:rPr>
        <w:t>7. Recomendaciones de aplicación</w:t>
      </w:r>
    </w:p>
    <w:p>
      <w:pPr>
        <w:pStyle w:val="ListBullet"/>
        <w:keepLines w:val="1"/>
        <w:keepNext w:val="1"/>
        <w:widowControl w:val="1"/>
      </w:pPr>
      <w:r>
        <w:t xml:space="preserve">Aplique la encuesta al menos una vez al año, idealmente antes de la revisión ENS.  </w:t>
      </w:r>
    </w:p>
    <w:p>
      <w:pPr>
        <w:pStyle w:val="ListBullet"/>
        <w:keepLines w:val="1"/>
        <w:keepNext w:val="1"/>
        <w:widowControl w:val="1"/>
      </w:pPr>
      <w:r>
        <w:t xml:space="preserve">No la utilice como arma arrojadiza: su valor está en la sinceridad de las respuestas.  </w:t>
      </w:r>
    </w:p>
    <w:p>
      <w:pPr>
        <w:pStyle w:val="ListBullet"/>
        <w:keepLines w:val="1"/>
        <w:keepNext w:val="1"/>
        <w:widowControl w:val="1"/>
      </w:pPr>
      <w:r>
        <w:t xml:space="preserve">Documente las decisiones de ponderación y las reglas de cálculo del IGM para permitir comparaciones año a año.  </w:t>
      </w:r>
    </w:p>
    <w:p>
      <w:pPr>
        <w:pStyle w:val="ListBullet"/>
        <w:keepLines w:val="1"/>
        <w:widowControl w:val="1"/>
      </w:pPr>
      <w:r>
        <w:t>Considere realizar la encuesta también a nivel de sistema crítico, para comparar madurez entre ámbitos.</w:t>
      </w:r>
    </w:p>
    <w:p>
      <w:pPr>
        <w:pStyle w:val="Heading2"/>
        <w:keepNext/>
        <w:keepLines/>
      </w:pPr>
      <w:r>
        <w:rPr>
          <w:color w:val="0066CC"/>
        </w:rPr>
        <w:t>8. Limitaciones y advertencias</w:t>
      </w:r>
    </w:p>
    <w:p>
      <w:pPr>
        <w:pStyle w:val="ListBullet"/>
        <w:keepLines w:val="1"/>
        <w:keepNext w:val="1"/>
        <w:widowControl w:val="1"/>
      </w:pPr>
      <w:r>
        <w:t xml:space="preserve">El IGM es un indicador agregado: útil para navegar, no para sustituir el detalle del análisis de riesgos.  </w:t>
      </w:r>
    </w:p>
    <w:p>
      <w:pPr>
        <w:pStyle w:val="ListBullet"/>
        <w:keepLines w:val="1"/>
        <w:keepNext w:val="1"/>
        <w:widowControl w:val="1"/>
      </w:pPr>
      <w:r>
        <w:t xml:space="preserve">Comparaciones entre organizaciones deben hacerse con cautela, asegurando escalas y criterios homogéneos.  </w:t>
      </w:r>
    </w:p>
    <w:p>
      <w:pPr>
        <w:pStyle w:val="ListBullet"/>
        <w:keepLines w:val="1"/>
        <w:widowControl w:val="1"/>
      </w:pPr>
      <w:r>
        <w:t>Una puntuación alta de madurez no garantiza ausencia de incidentes; sí debería correlacionarse con mejor capacidad de gestión.</w:t>
      </w:r>
    </w:p>
    <w:p>
      <w:r>
        <w:t>La guía puede ampliarse con anexos específicos por sector (sanidad, educación, administración local, etc.), adaptando pesos y ejemplos sin alterar la estructura básica.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